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Pr="00B56577" w:rsidRDefault="006D3A53" w:rsidP="006D3A53">
      <w:pPr>
        <w:pStyle w:val="Heading1"/>
        <w:numPr>
          <w:ilvl w:val="0"/>
          <w:numId w:val="0"/>
        </w:numPr>
        <w:ind w:left="848" w:hanging="848"/>
        <w:rPr>
          <w:rFonts w:ascii="Lato" w:hAnsi="Lato"/>
        </w:rPr>
      </w:pPr>
      <w:r w:rsidRPr="00B56577">
        <w:rPr>
          <w:rFonts w:ascii="Lato" w:hAnsi="Lato"/>
        </w:rPr>
        <w:t>Summary Information</w:t>
      </w:r>
    </w:p>
    <w:tbl>
      <w:tblPr>
        <w:tblW w:w="0" w:type="auto"/>
        <w:tblLook w:val="0480" w:firstRow="0" w:lastRow="0" w:firstColumn="1" w:lastColumn="0" w:noHBand="0" w:noVBand="1"/>
      </w:tblPr>
      <w:tblGrid>
        <w:gridCol w:w="2998"/>
        <w:gridCol w:w="10493"/>
      </w:tblGrid>
      <w:tr w:rsidR="00156F7C" w:rsidRPr="00B56577" w14:paraId="0CE5EFCA" w14:textId="77777777" w:rsidTr="009E63EB">
        <w:trPr>
          <w:cantSplit/>
          <w:trHeight w:val="20"/>
        </w:trPr>
        <w:tc>
          <w:tcPr>
            <w:tcW w:w="0" w:type="auto"/>
            <w:vAlign w:val="center"/>
          </w:tcPr>
          <w:p w14:paraId="3556C53A" w14:textId="7C2CA956" w:rsidR="00156F7C" w:rsidRPr="00B56577" w:rsidRDefault="00156F7C" w:rsidP="009E63EB">
            <w:pPr>
              <w:pStyle w:val="BodyTextBold"/>
              <w:jc w:val="right"/>
              <w:rPr>
                <w:rFonts w:ascii="Lato" w:hAnsi="Lato"/>
              </w:rPr>
            </w:pPr>
            <w:r w:rsidRPr="00B56577">
              <w:rPr>
                <w:rFonts w:ascii="Lato" w:hAnsi="Lato"/>
              </w:rPr>
              <w:t>Topic:</w:t>
            </w:r>
          </w:p>
        </w:tc>
        <w:tc>
          <w:tcPr>
            <w:tcW w:w="0" w:type="auto"/>
            <w:vAlign w:val="center"/>
          </w:tcPr>
          <w:p w14:paraId="5CD906C7" w14:textId="473E81BA" w:rsidR="00156F7C" w:rsidRPr="00B56577" w:rsidRDefault="00812636" w:rsidP="009E63EB">
            <w:pPr>
              <w:pStyle w:val="BodyTextBold"/>
              <w:rPr>
                <w:rFonts w:ascii="Lato" w:hAnsi="Lato"/>
                <w:b w:val="0"/>
              </w:rPr>
            </w:pPr>
            <w:r w:rsidRPr="00B56577">
              <w:rPr>
                <w:rFonts w:ascii="Lato" w:hAnsi="Lato"/>
                <w:b w:val="0"/>
              </w:rPr>
              <w:t xml:space="preserve">Communications Hubs &amp; Networks </w:t>
            </w:r>
            <w:r w:rsidR="00FF59EF" w:rsidRPr="00B56577">
              <w:rPr>
                <w:rFonts w:ascii="Lato" w:hAnsi="Lato"/>
                <w:b w:val="0"/>
              </w:rPr>
              <w:t>Consultation on Phase 2 regulatory changes (transitional and enduring</w:t>
            </w:r>
            <w:r w:rsidR="00B56577">
              <w:rPr>
                <w:rFonts w:ascii="Lato" w:hAnsi="Lato"/>
                <w:b w:val="0"/>
              </w:rPr>
              <w:t>)</w:t>
            </w:r>
          </w:p>
        </w:tc>
      </w:tr>
      <w:tr w:rsidR="00E218D7" w:rsidRPr="00B56577" w14:paraId="7DADE0EA" w14:textId="77777777" w:rsidTr="009E63EB">
        <w:trPr>
          <w:cantSplit/>
          <w:trHeight w:val="20"/>
        </w:trPr>
        <w:tc>
          <w:tcPr>
            <w:tcW w:w="0" w:type="auto"/>
            <w:vAlign w:val="center"/>
          </w:tcPr>
          <w:p w14:paraId="045E4C98" w14:textId="011E22E0" w:rsidR="00E218D7" w:rsidRPr="00B56577" w:rsidRDefault="00156F7C" w:rsidP="009E63EB">
            <w:pPr>
              <w:pStyle w:val="BodyTextBold"/>
              <w:jc w:val="right"/>
              <w:rPr>
                <w:rFonts w:ascii="Lato" w:hAnsi="Lato"/>
              </w:rPr>
            </w:pPr>
            <w:r w:rsidRPr="00B56577">
              <w:rPr>
                <w:rFonts w:ascii="Lato" w:hAnsi="Lato"/>
              </w:rPr>
              <w:t>Due Date:</w:t>
            </w:r>
          </w:p>
        </w:tc>
        <w:tc>
          <w:tcPr>
            <w:tcW w:w="0" w:type="auto"/>
            <w:vAlign w:val="center"/>
          </w:tcPr>
          <w:p w14:paraId="30AD2695" w14:textId="5829F53C" w:rsidR="00E218D7" w:rsidRPr="00B56577" w:rsidRDefault="00FF59EF" w:rsidP="009E63EB">
            <w:pPr>
              <w:pStyle w:val="BodyTextBold"/>
              <w:rPr>
                <w:rFonts w:ascii="Lato" w:hAnsi="Lato"/>
                <w:b w:val="0"/>
              </w:rPr>
            </w:pPr>
            <w:r w:rsidRPr="00B56577">
              <w:rPr>
                <w:rFonts w:ascii="Lato" w:hAnsi="Lato"/>
                <w:b w:val="0"/>
                <w:highlight w:val="yellow"/>
              </w:rPr>
              <w:t>XX</w:t>
            </w:r>
            <w:r w:rsidRPr="00B56577">
              <w:rPr>
                <w:rFonts w:ascii="Lato" w:hAnsi="Lato"/>
                <w:b w:val="0"/>
              </w:rPr>
              <w:t xml:space="preserve"> May</w:t>
            </w:r>
            <w:r w:rsidR="00AA7EDE" w:rsidRPr="00B56577">
              <w:rPr>
                <w:rFonts w:ascii="Lato" w:hAnsi="Lato"/>
                <w:b w:val="0"/>
              </w:rPr>
              <w:t xml:space="preserve"> 2024</w:t>
            </w:r>
          </w:p>
        </w:tc>
      </w:tr>
      <w:tr w:rsidR="00233DEA" w:rsidRPr="00B56577" w14:paraId="4497CC0A" w14:textId="77777777" w:rsidTr="009E63EB">
        <w:trPr>
          <w:cantSplit/>
          <w:trHeight w:val="20"/>
        </w:trPr>
        <w:tc>
          <w:tcPr>
            <w:tcW w:w="0" w:type="auto"/>
            <w:vAlign w:val="center"/>
          </w:tcPr>
          <w:p w14:paraId="09B86D7E" w14:textId="2080C760" w:rsidR="00233DEA" w:rsidRPr="00B56577" w:rsidRDefault="00233DEA" w:rsidP="009E63EB">
            <w:pPr>
              <w:pStyle w:val="BodyTextBold"/>
              <w:jc w:val="right"/>
              <w:rPr>
                <w:rFonts w:ascii="Lato" w:hAnsi="Lato"/>
              </w:rPr>
            </w:pPr>
            <w:r w:rsidRPr="00B56577">
              <w:rPr>
                <w:rFonts w:ascii="Lato" w:hAnsi="Lato"/>
              </w:rPr>
              <w:t>DCC Contact</w:t>
            </w:r>
          </w:p>
        </w:tc>
        <w:tc>
          <w:tcPr>
            <w:tcW w:w="0" w:type="auto"/>
            <w:vAlign w:val="center"/>
          </w:tcPr>
          <w:p w14:paraId="034D3931" w14:textId="344B71CB" w:rsidR="0086498F" w:rsidRPr="00B56577" w:rsidRDefault="00064A57" w:rsidP="0086498F">
            <w:pPr>
              <w:pStyle w:val="BodyTextBold"/>
              <w:rPr>
                <w:rFonts w:ascii="Lato" w:hAnsi="Lato"/>
                <w:b w:val="0"/>
              </w:rPr>
            </w:pPr>
            <w:hyperlink r:id="rId11" w:history="1">
              <w:r w:rsidR="0086498F" w:rsidRPr="00B56577">
                <w:rPr>
                  <w:rStyle w:val="Hyperlink"/>
                  <w:rFonts w:ascii="Lato" w:hAnsi="Lato"/>
                </w:rPr>
                <w:t>consultations@smartdcc.co.uk</w:t>
              </w:r>
            </w:hyperlink>
            <w:hyperlink r:id="rId12" w:history="1"/>
            <w:r w:rsidR="00B86663" w:rsidRPr="00B56577">
              <w:rPr>
                <w:rFonts w:ascii="Lato" w:hAnsi="Lato"/>
                <w:b w:val="0"/>
              </w:rPr>
              <w:t xml:space="preserve"> </w:t>
            </w:r>
          </w:p>
        </w:tc>
      </w:tr>
      <w:tr w:rsidR="00F3668C" w:rsidRPr="00B56577" w14:paraId="35E4BAFE" w14:textId="77777777" w:rsidTr="009E63EB">
        <w:trPr>
          <w:cantSplit/>
          <w:trHeight w:val="20"/>
        </w:trPr>
        <w:tc>
          <w:tcPr>
            <w:tcW w:w="0" w:type="auto"/>
            <w:vAlign w:val="center"/>
          </w:tcPr>
          <w:p w14:paraId="40E02368" w14:textId="75A64786" w:rsidR="00F3668C" w:rsidRPr="00B56577" w:rsidRDefault="00F3668C" w:rsidP="009E63EB">
            <w:pPr>
              <w:pStyle w:val="BodyTextBold"/>
              <w:jc w:val="right"/>
              <w:rPr>
                <w:rFonts w:ascii="Lato" w:hAnsi="Lato"/>
              </w:rPr>
            </w:pPr>
            <w:r w:rsidRPr="00B56577">
              <w:rPr>
                <w:rFonts w:ascii="Lato" w:hAnsi="Lato"/>
              </w:rPr>
              <w:t>Respondent</w:t>
            </w:r>
            <w:r w:rsidR="00F2706B" w:rsidRPr="00B56577">
              <w:rPr>
                <w:rFonts w:ascii="Lato" w:hAnsi="Lato"/>
              </w:rPr>
              <w:t>:</w:t>
            </w:r>
          </w:p>
        </w:tc>
        <w:tc>
          <w:tcPr>
            <w:tcW w:w="0" w:type="auto"/>
            <w:vAlign w:val="center"/>
          </w:tcPr>
          <w:p w14:paraId="71BB34C7" w14:textId="2A362B7F" w:rsidR="00F3668C" w:rsidRPr="00B56577" w:rsidRDefault="0052508C" w:rsidP="009E63EB">
            <w:pPr>
              <w:pStyle w:val="BodyTextBold"/>
              <w:rPr>
                <w:rFonts w:ascii="Lato" w:hAnsi="Lato"/>
                <w:b w:val="0"/>
              </w:rPr>
            </w:pPr>
            <w:r w:rsidRPr="00B56577">
              <w:rPr>
                <w:rFonts w:ascii="Lato" w:hAnsi="Lato"/>
                <w:b w:val="0"/>
              </w:rPr>
              <w:t>[</w:t>
            </w:r>
            <w:r w:rsidR="00F2706B" w:rsidRPr="00B56577">
              <w:rPr>
                <w:rFonts w:ascii="Lato" w:hAnsi="Lato"/>
                <w:b w:val="0"/>
              </w:rPr>
              <w:t>Respondent to add</w:t>
            </w:r>
            <w:r w:rsidRPr="00B56577">
              <w:rPr>
                <w:rFonts w:ascii="Lato" w:hAnsi="Lato"/>
                <w:b w:val="0"/>
              </w:rPr>
              <w:t>]</w:t>
            </w:r>
          </w:p>
        </w:tc>
      </w:tr>
      <w:tr w:rsidR="0052508C" w:rsidRPr="00B56577" w14:paraId="46767574" w14:textId="77777777" w:rsidTr="009E63EB">
        <w:trPr>
          <w:cantSplit/>
          <w:trHeight w:val="20"/>
        </w:trPr>
        <w:tc>
          <w:tcPr>
            <w:tcW w:w="0" w:type="auto"/>
            <w:vAlign w:val="center"/>
          </w:tcPr>
          <w:p w14:paraId="0CDA6965" w14:textId="0A830E43" w:rsidR="0052508C" w:rsidRPr="00B56577" w:rsidRDefault="0052508C" w:rsidP="009E63EB">
            <w:pPr>
              <w:pStyle w:val="BodyTextBold"/>
              <w:jc w:val="right"/>
              <w:rPr>
                <w:rFonts w:ascii="Lato" w:hAnsi="Lato"/>
              </w:rPr>
            </w:pPr>
            <w:r w:rsidRPr="00B56577">
              <w:rPr>
                <w:rFonts w:ascii="Lato" w:hAnsi="Lato"/>
              </w:rPr>
              <w:t xml:space="preserve">Contact </w:t>
            </w:r>
            <w:r w:rsidR="00F2706B" w:rsidRPr="00B56577">
              <w:rPr>
                <w:rFonts w:ascii="Lato" w:hAnsi="Lato"/>
              </w:rPr>
              <w:t>Name:</w:t>
            </w:r>
          </w:p>
        </w:tc>
        <w:tc>
          <w:tcPr>
            <w:tcW w:w="0" w:type="auto"/>
            <w:vAlign w:val="center"/>
          </w:tcPr>
          <w:p w14:paraId="320A0BE1" w14:textId="2BB4EDDE" w:rsidR="0052508C" w:rsidRPr="00B56577" w:rsidRDefault="00F2706B" w:rsidP="009E63EB">
            <w:pPr>
              <w:pStyle w:val="BodyTextBold"/>
              <w:rPr>
                <w:rFonts w:ascii="Lato" w:hAnsi="Lato"/>
                <w:b w:val="0"/>
              </w:rPr>
            </w:pPr>
            <w:r w:rsidRPr="00B56577">
              <w:rPr>
                <w:rFonts w:ascii="Lato" w:hAnsi="Lato"/>
                <w:b w:val="0"/>
              </w:rPr>
              <w:t>[Respondent to add]</w:t>
            </w:r>
          </w:p>
        </w:tc>
      </w:tr>
      <w:tr w:rsidR="0052508C" w:rsidRPr="00B56577" w14:paraId="0921FF89" w14:textId="77777777" w:rsidTr="009E63EB">
        <w:trPr>
          <w:cantSplit/>
          <w:trHeight w:val="20"/>
        </w:trPr>
        <w:tc>
          <w:tcPr>
            <w:tcW w:w="0" w:type="auto"/>
            <w:vAlign w:val="center"/>
          </w:tcPr>
          <w:p w14:paraId="6B6C6EFF" w14:textId="2784D309" w:rsidR="0052508C" w:rsidRPr="00B56577" w:rsidRDefault="00F2706B" w:rsidP="009E63EB">
            <w:pPr>
              <w:pStyle w:val="BodyTextBold"/>
              <w:jc w:val="right"/>
              <w:rPr>
                <w:rFonts w:ascii="Lato" w:hAnsi="Lato"/>
              </w:rPr>
            </w:pPr>
            <w:r w:rsidRPr="00B56577">
              <w:rPr>
                <w:rFonts w:ascii="Lato" w:hAnsi="Lato"/>
              </w:rPr>
              <w:t>Contact Email:</w:t>
            </w:r>
          </w:p>
        </w:tc>
        <w:tc>
          <w:tcPr>
            <w:tcW w:w="0" w:type="auto"/>
            <w:vAlign w:val="center"/>
          </w:tcPr>
          <w:p w14:paraId="39EB0B6C" w14:textId="57161FCF" w:rsidR="0052508C" w:rsidRPr="00B56577" w:rsidRDefault="00F2706B" w:rsidP="009E63EB">
            <w:pPr>
              <w:pStyle w:val="BodyTextBold"/>
              <w:rPr>
                <w:rFonts w:ascii="Lato" w:hAnsi="Lato"/>
                <w:b w:val="0"/>
              </w:rPr>
            </w:pPr>
            <w:r w:rsidRPr="00B56577">
              <w:rPr>
                <w:rFonts w:ascii="Lato" w:hAnsi="Lato"/>
                <w:b w:val="0"/>
              </w:rPr>
              <w:t>[Respondent to add]</w:t>
            </w:r>
          </w:p>
        </w:tc>
      </w:tr>
      <w:tr w:rsidR="0052508C" w:rsidRPr="00B56577" w14:paraId="5074E105" w14:textId="77777777" w:rsidTr="009E63EB">
        <w:trPr>
          <w:cantSplit/>
          <w:trHeight w:val="20"/>
        </w:trPr>
        <w:tc>
          <w:tcPr>
            <w:tcW w:w="0" w:type="auto"/>
            <w:vAlign w:val="center"/>
          </w:tcPr>
          <w:p w14:paraId="2DD384EF" w14:textId="6D24E7A7" w:rsidR="0052508C" w:rsidRPr="00B56577" w:rsidRDefault="00F2706B" w:rsidP="009E63EB">
            <w:pPr>
              <w:pStyle w:val="BodyTextBold"/>
              <w:jc w:val="right"/>
              <w:rPr>
                <w:rFonts w:ascii="Lato" w:hAnsi="Lato"/>
              </w:rPr>
            </w:pPr>
            <w:r w:rsidRPr="00B56577">
              <w:rPr>
                <w:rFonts w:ascii="Lato" w:hAnsi="Lato"/>
              </w:rPr>
              <w:t>Contact Telephone Number:</w:t>
            </w:r>
          </w:p>
        </w:tc>
        <w:tc>
          <w:tcPr>
            <w:tcW w:w="0" w:type="auto"/>
            <w:vAlign w:val="center"/>
          </w:tcPr>
          <w:p w14:paraId="269F8317" w14:textId="06CF30F4" w:rsidR="0052508C" w:rsidRPr="00B56577" w:rsidRDefault="00F2706B" w:rsidP="009E63EB">
            <w:pPr>
              <w:pStyle w:val="BodyTextBold"/>
              <w:rPr>
                <w:rFonts w:ascii="Lato" w:hAnsi="Lato"/>
                <w:b w:val="0"/>
              </w:rPr>
            </w:pPr>
            <w:r w:rsidRPr="00B56577">
              <w:rPr>
                <w:rFonts w:ascii="Lato" w:hAnsi="Lato"/>
                <w:b w:val="0"/>
              </w:rPr>
              <w:t>[Respondent to add]</w:t>
            </w:r>
          </w:p>
        </w:tc>
      </w:tr>
    </w:tbl>
    <w:p w14:paraId="77BB6E0D" w14:textId="77777777" w:rsidR="00B50B92" w:rsidRPr="00B56577" w:rsidRDefault="00B50B92" w:rsidP="00B56577">
      <w:pPr>
        <w:pStyle w:val="BodyTextBold"/>
        <w:rPr>
          <w:rFonts w:ascii="Lato" w:hAnsi="Lato"/>
          <w:b w:val="0"/>
        </w:rPr>
      </w:pPr>
      <w:bookmarkStart w:id="0" w:name="_Toc499294628"/>
    </w:p>
    <w:p w14:paraId="1AF268F8" w14:textId="77777777" w:rsidR="00B50B92" w:rsidRPr="00B56577" w:rsidRDefault="00B50B92">
      <w:pPr>
        <w:spacing w:before="0" w:after="0"/>
        <w:rPr>
          <w:rFonts w:ascii="Lato" w:eastAsia="Times New Roman" w:hAnsi="Lato" w:cs="Arial"/>
          <w:b/>
          <w:bCs/>
          <w:color w:val="1F144A" w:themeColor="text1"/>
          <w:kern w:val="32"/>
          <w:sz w:val="32"/>
          <w:szCs w:val="32"/>
        </w:rPr>
      </w:pPr>
      <w:r w:rsidRPr="00B56577">
        <w:rPr>
          <w:rFonts w:ascii="Lato" w:hAnsi="Lato"/>
        </w:rPr>
        <w:br w:type="page"/>
      </w:r>
    </w:p>
    <w:p w14:paraId="1C85488E" w14:textId="77777777" w:rsidR="00B50B92" w:rsidRPr="00B56577" w:rsidRDefault="00B50B92" w:rsidP="00DC52C9">
      <w:pPr>
        <w:pStyle w:val="Heading1"/>
        <w:numPr>
          <w:ilvl w:val="0"/>
          <w:numId w:val="0"/>
        </w:numPr>
        <w:ind w:left="848" w:hanging="848"/>
        <w:rPr>
          <w:rFonts w:ascii="Lato" w:hAnsi="Lato"/>
        </w:rPr>
      </w:pPr>
    </w:p>
    <w:p w14:paraId="22E919AE" w14:textId="59A4BC0E" w:rsidR="004064E0" w:rsidRPr="00B56577" w:rsidRDefault="00DC52C9" w:rsidP="00DC52C9">
      <w:pPr>
        <w:pStyle w:val="Heading1"/>
        <w:numPr>
          <w:ilvl w:val="0"/>
          <w:numId w:val="0"/>
        </w:numPr>
        <w:ind w:left="848" w:hanging="848"/>
        <w:rPr>
          <w:rFonts w:ascii="Lato" w:hAnsi="Lato"/>
        </w:rPr>
      </w:pPr>
      <w:r w:rsidRPr="00B56577">
        <w:rPr>
          <w:rFonts w:ascii="Lato" w:hAnsi="Lato"/>
        </w:rPr>
        <w:t>R</w:t>
      </w:r>
      <w:r w:rsidR="004064E0" w:rsidRPr="00B56577">
        <w:rPr>
          <w:rFonts w:ascii="Lato" w:hAnsi="Lato"/>
        </w:rPr>
        <w:t>esponses to the consultation questions</w:t>
      </w:r>
      <w:r w:rsidR="00DE289C" w:rsidRPr="00B56577">
        <w:rPr>
          <w:rFonts w:ascii="Lato" w:hAnsi="Lato"/>
        </w:rPr>
        <w:t xml:space="preserve"> on </w:t>
      </w:r>
      <w:bookmarkEnd w:id="0"/>
      <w:r w:rsidR="00812636" w:rsidRPr="00B56577">
        <w:rPr>
          <w:rFonts w:ascii="Lato" w:hAnsi="Lato"/>
        </w:rPr>
        <w:t xml:space="preserve">4G CH&amp;N </w:t>
      </w:r>
      <w:r w:rsidR="00064A57">
        <w:rPr>
          <w:rFonts w:ascii="Lato" w:hAnsi="Lato"/>
        </w:rPr>
        <w:t>Phase 2 regulatory changes</w:t>
      </w:r>
      <w:r w:rsidR="004D59CB" w:rsidRPr="00B56577">
        <w:rPr>
          <w:rFonts w:ascii="Lato" w:hAnsi="Lato"/>
          <w:b w:val="0"/>
        </w:rPr>
        <w:t xml:space="preserve"> </w:t>
      </w:r>
    </w:p>
    <w:tbl>
      <w:tblPr>
        <w:tblStyle w:val="TableTemplate1"/>
        <w:tblW w:w="0" w:type="auto"/>
        <w:tblLook w:val="04A0" w:firstRow="1" w:lastRow="0" w:firstColumn="1" w:lastColumn="0" w:noHBand="0" w:noVBand="1"/>
      </w:tblPr>
      <w:tblGrid>
        <w:gridCol w:w="1266"/>
        <w:gridCol w:w="9368"/>
        <w:gridCol w:w="3304"/>
      </w:tblGrid>
      <w:tr w:rsidR="009E3938" w:rsidRPr="00B56577" w14:paraId="3E2A3BAD" w14:textId="77777777" w:rsidTr="00823C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68971F25" w14:textId="3E343F80" w:rsidR="00674D62" w:rsidRPr="00B56577" w:rsidRDefault="004B2C0E" w:rsidP="00FE755A">
            <w:pPr>
              <w:pStyle w:val="TableText-Left"/>
              <w:spacing w:line="276" w:lineRule="auto"/>
              <w:jc w:val="center"/>
              <w:rPr>
                <w:rFonts w:ascii="Lato" w:hAnsi="Lato"/>
              </w:rPr>
            </w:pPr>
            <w:r w:rsidRPr="00B56577">
              <w:rPr>
                <w:rFonts w:ascii="Lato" w:hAnsi="Lato"/>
              </w:rPr>
              <w:t>Numb</w:t>
            </w:r>
          </w:p>
        </w:tc>
        <w:tc>
          <w:tcPr>
            <w:tcW w:w="9368" w:type="dxa"/>
          </w:tcPr>
          <w:p w14:paraId="0892CFD9" w14:textId="2C71B946" w:rsidR="00674D62" w:rsidRPr="00B56577"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Question</w:t>
            </w:r>
          </w:p>
        </w:tc>
        <w:tc>
          <w:tcPr>
            <w:tcW w:w="0" w:type="auto"/>
          </w:tcPr>
          <w:p w14:paraId="033C5F8C" w14:textId="07636174" w:rsidR="00674D62" w:rsidRPr="00B56577"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Response</w:t>
            </w:r>
          </w:p>
        </w:tc>
      </w:tr>
      <w:tr w:rsidR="00312F3A" w:rsidRPr="00B56577" w14:paraId="72511565" w14:textId="77777777" w:rsidTr="00823CF0">
        <w:trPr>
          <w:cantSplit/>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1DCF235F" w14:textId="3D22C520" w:rsidR="00312F3A" w:rsidRPr="00B56577" w:rsidRDefault="00AB20FD" w:rsidP="00312F3A">
            <w:pPr>
              <w:pStyle w:val="TableText-Left"/>
              <w:spacing w:line="276" w:lineRule="auto"/>
              <w:jc w:val="center"/>
              <w:rPr>
                <w:rFonts w:ascii="Lato" w:hAnsi="Lato"/>
                <w:color w:val="auto"/>
              </w:rPr>
            </w:pPr>
            <w:r w:rsidRPr="00B56577">
              <w:rPr>
                <w:rFonts w:ascii="Lato" w:hAnsi="Lato"/>
                <w:color w:val="auto"/>
              </w:rPr>
              <w:t>Q1</w:t>
            </w:r>
          </w:p>
        </w:tc>
        <w:tc>
          <w:tcPr>
            <w:tcW w:w="9368" w:type="dxa"/>
            <w:vAlign w:val="center"/>
          </w:tcPr>
          <w:p w14:paraId="2E8CAFFB" w14:textId="4E0F7A4D" w:rsidR="00312F3A" w:rsidRPr="00B56577" w:rsidRDefault="002B5DCC"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Do you have any comments on the proposed temporary rules for forecasts and ordering of 4G Communications Hubs? Please provide your </w:t>
            </w:r>
            <w:proofErr w:type="gramStart"/>
            <w:r w:rsidRPr="00B56577">
              <w:rPr>
                <w:rFonts w:ascii="Lato" w:hAnsi="Lato"/>
              </w:rPr>
              <w:t>rationale  .</w:t>
            </w:r>
            <w:proofErr w:type="gramEnd"/>
          </w:p>
        </w:tc>
        <w:tc>
          <w:tcPr>
            <w:tcW w:w="0" w:type="auto"/>
            <w:vAlign w:val="center"/>
          </w:tcPr>
          <w:p w14:paraId="1D5B9CEC" w14:textId="77777777" w:rsidR="00312F3A" w:rsidRPr="00B56577"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6647FA10" w14:textId="5E9FBAD0" w:rsidR="00312F3A" w:rsidRPr="00B56577"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312F3A" w:rsidRPr="00B56577" w14:paraId="1746CC52" w14:textId="2BBE4DE6" w:rsidTr="00823CF0">
        <w:trPr>
          <w:cantSplit/>
          <w:trHeight w:val="1404"/>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1EFB4CC4" w14:textId="3425F089" w:rsidR="00312F3A" w:rsidRPr="00B56577" w:rsidRDefault="00812636" w:rsidP="00312F3A">
            <w:pPr>
              <w:pStyle w:val="TableText-Left"/>
              <w:spacing w:line="276" w:lineRule="auto"/>
              <w:jc w:val="center"/>
              <w:rPr>
                <w:rFonts w:ascii="Lato" w:hAnsi="Lato"/>
                <w:color w:val="auto"/>
              </w:rPr>
            </w:pPr>
            <w:r w:rsidRPr="00B56577">
              <w:rPr>
                <w:rFonts w:ascii="Lato" w:hAnsi="Lato"/>
                <w:color w:val="auto"/>
              </w:rPr>
              <w:t>Q2</w:t>
            </w:r>
          </w:p>
        </w:tc>
        <w:tc>
          <w:tcPr>
            <w:tcW w:w="9368" w:type="dxa"/>
            <w:vAlign w:val="center"/>
          </w:tcPr>
          <w:p w14:paraId="4A576EE9" w14:textId="747404AA" w:rsidR="00312F3A" w:rsidRPr="00B56577" w:rsidRDefault="003D5559"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Do you have any comments on the proposed approach to utilise the JIP Change Request Process should any of the new delivery month JIP Milestones need changing, ensuring all SEC Parties are consulted? Please provide your rationale.</w:t>
            </w:r>
          </w:p>
        </w:tc>
        <w:tc>
          <w:tcPr>
            <w:tcW w:w="0" w:type="auto"/>
            <w:vAlign w:val="center"/>
          </w:tcPr>
          <w:p w14:paraId="653D1E03" w14:textId="77777777" w:rsidR="00312F3A" w:rsidRPr="00B56577"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3EBF2CF3" w14:textId="2A35DF06" w:rsidR="00312F3A" w:rsidRPr="00B56577"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812636" w:rsidRPr="00B56577" w14:paraId="57F37949" w14:textId="77777777" w:rsidTr="00823CF0">
        <w:trPr>
          <w:cantSplit/>
          <w:trHeight w:val="1404"/>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3FD9F6E7" w14:textId="747B75F9" w:rsidR="00812636" w:rsidRPr="00B56577" w:rsidRDefault="00812636" w:rsidP="00812636">
            <w:pPr>
              <w:pStyle w:val="TableText-Left"/>
              <w:spacing w:line="276" w:lineRule="auto"/>
              <w:jc w:val="center"/>
              <w:rPr>
                <w:rFonts w:ascii="Lato" w:hAnsi="Lato"/>
                <w:color w:val="auto"/>
              </w:rPr>
            </w:pPr>
            <w:r w:rsidRPr="00B56577">
              <w:rPr>
                <w:rFonts w:ascii="Lato" w:hAnsi="Lato"/>
                <w:color w:val="auto"/>
              </w:rPr>
              <w:t>Q3</w:t>
            </w:r>
          </w:p>
        </w:tc>
        <w:tc>
          <w:tcPr>
            <w:tcW w:w="9368" w:type="dxa"/>
            <w:vAlign w:val="center"/>
          </w:tcPr>
          <w:p w14:paraId="27E1D502" w14:textId="53FB4BEE" w:rsidR="00812636" w:rsidRPr="00B56577" w:rsidRDefault="0012147B" w:rsidP="00812636">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Do you agree with the DCC proposal that should any of the Delivery Month dates be amended, any previously submitted forecasts and orders in respect of that Delivery Month should be treated as if submitted in respect of the amended Delivery Month?   Please provide your rationale.</w:t>
            </w:r>
          </w:p>
        </w:tc>
        <w:tc>
          <w:tcPr>
            <w:tcW w:w="0" w:type="auto"/>
            <w:vAlign w:val="center"/>
          </w:tcPr>
          <w:p w14:paraId="72B9EAB8" w14:textId="77777777" w:rsidR="00812636" w:rsidRPr="00B56577" w:rsidRDefault="00812636" w:rsidP="00812636">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1DB58672" w14:textId="616E7BCB" w:rsidR="00812636" w:rsidRPr="00B56577" w:rsidRDefault="00812636" w:rsidP="00812636">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b/>
                <w:bCs/>
              </w:rPr>
            </w:pPr>
            <w:r w:rsidRPr="00B56577">
              <w:rPr>
                <w:rFonts w:ascii="Lato" w:hAnsi="Lato"/>
              </w:rPr>
              <w:t>NB the table will resize automatically based on the text added]</w:t>
            </w:r>
          </w:p>
        </w:tc>
      </w:tr>
      <w:tr w:rsidR="00C61661" w:rsidRPr="00B56577" w14:paraId="3D7A0C51" w14:textId="77777777" w:rsidTr="00823CF0">
        <w:trPr>
          <w:cantSplit/>
          <w:trHeight w:val="1404"/>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5DD4C7DB" w14:textId="6E04EEB3" w:rsidR="00C61661" w:rsidRPr="00B56577" w:rsidRDefault="00C61661" w:rsidP="00C61661">
            <w:pPr>
              <w:pStyle w:val="TableText-Left"/>
              <w:spacing w:line="276" w:lineRule="auto"/>
              <w:jc w:val="center"/>
              <w:rPr>
                <w:rFonts w:ascii="Lato" w:hAnsi="Lato"/>
              </w:rPr>
            </w:pPr>
            <w:r w:rsidRPr="00C61661">
              <w:rPr>
                <w:rFonts w:ascii="Lato" w:hAnsi="Lato"/>
                <w:color w:val="auto"/>
              </w:rPr>
              <w:t>Q4</w:t>
            </w:r>
          </w:p>
        </w:tc>
        <w:tc>
          <w:tcPr>
            <w:tcW w:w="9368" w:type="dxa"/>
            <w:vAlign w:val="center"/>
          </w:tcPr>
          <w:p w14:paraId="4703F2BA" w14:textId="7E4F0F60"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C61661">
              <w:rPr>
                <w:rFonts w:ascii="Lato" w:hAnsi="Lato"/>
              </w:rPr>
              <w:t>Do you have any detailed comments on the legal drafting in SEC Appendix AU (NETMAD), including the proposed temporary process for submitting forecasts and orders of 4G Communications Hubs set out in section 6 of the NETMAD? Please provide your rationale.</w:t>
            </w:r>
          </w:p>
        </w:tc>
        <w:tc>
          <w:tcPr>
            <w:tcW w:w="0" w:type="auto"/>
            <w:vAlign w:val="center"/>
          </w:tcPr>
          <w:p w14:paraId="5A0C331F" w14:textId="77777777"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7D839F0F" w14:textId="211224C0"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C61661" w:rsidRPr="00B56577" w14:paraId="2C3F978A" w14:textId="77777777" w:rsidTr="00823CF0">
        <w:trPr>
          <w:cantSplit/>
          <w:trHeight w:val="1404"/>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62AA9916" w14:textId="71832786" w:rsidR="00C61661" w:rsidRPr="00B56577" w:rsidRDefault="00C61661" w:rsidP="00C61661">
            <w:pPr>
              <w:pStyle w:val="TableText-Left"/>
              <w:spacing w:line="276" w:lineRule="auto"/>
              <w:jc w:val="center"/>
              <w:rPr>
                <w:rFonts w:ascii="Lato" w:hAnsi="Lato"/>
                <w:color w:val="auto"/>
              </w:rPr>
            </w:pPr>
            <w:r w:rsidRPr="00B56577">
              <w:rPr>
                <w:rFonts w:ascii="Lato" w:hAnsi="Lato"/>
                <w:color w:val="auto"/>
              </w:rPr>
              <w:t>Q</w:t>
            </w:r>
            <w:r>
              <w:rPr>
                <w:rFonts w:ascii="Lato" w:hAnsi="Lato"/>
                <w:color w:val="auto"/>
              </w:rPr>
              <w:t>5</w:t>
            </w:r>
          </w:p>
        </w:tc>
        <w:tc>
          <w:tcPr>
            <w:tcW w:w="9368" w:type="dxa"/>
            <w:vAlign w:val="center"/>
          </w:tcPr>
          <w:p w14:paraId="45BFBEA7" w14:textId="3E2584F7"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Do you have any comments on the proposed rules for the replacement of 2/3G Mesh Communications Hubs during IPV?</w:t>
            </w:r>
          </w:p>
        </w:tc>
        <w:tc>
          <w:tcPr>
            <w:tcW w:w="0" w:type="auto"/>
            <w:vAlign w:val="center"/>
          </w:tcPr>
          <w:p w14:paraId="19CFF500" w14:textId="77777777"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6801E874" w14:textId="59F6B7EC"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C61661" w:rsidRPr="00B56577" w14:paraId="4C5BC2ED" w14:textId="77777777" w:rsidTr="00823CF0">
        <w:trPr>
          <w:cantSplit/>
          <w:trHeight w:val="1404"/>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15249EED" w14:textId="6CB02A42" w:rsidR="00C61661" w:rsidRPr="00B56577" w:rsidRDefault="00C61661" w:rsidP="00C61661">
            <w:pPr>
              <w:pStyle w:val="TableText-Left"/>
              <w:spacing w:line="276" w:lineRule="auto"/>
              <w:jc w:val="center"/>
              <w:rPr>
                <w:rFonts w:ascii="Lato" w:hAnsi="Lato"/>
                <w:color w:val="auto"/>
              </w:rPr>
            </w:pPr>
            <w:r w:rsidRPr="00B56577">
              <w:rPr>
                <w:rFonts w:ascii="Lato" w:hAnsi="Lato"/>
                <w:color w:val="auto"/>
              </w:rPr>
              <w:lastRenderedPageBreak/>
              <w:t>Q</w:t>
            </w:r>
            <w:r>
              <w:rPr>
                <w:rFonts w:ascii="Lato" w:hAnsi="Lato"/>
                <w:color w:val="auto"/>
              </w:rPr>
              <w:t>6</w:t>
            </w:r>
          </w:p>
        </w:tc>
        <w:tc>
          <w:tcPr>
            <w:tcW w:w="9368" w:type="dxa"/>
            <w:vAlign w:val="center"/>
          </w:tcPr>
          <w:p w14:paraId="38F1AEF5" w14:textId="489EC570"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Do you have any detailed comments on the legal drafting in Clause 7 of SEC Appendix AU (NETMAD)?   Please provide your rationale.</w:t>
            </w:r>
          </w:p>
        </w:tc>
        <w:tc>
          <w:tcPr>
            <w:tcW w:w="0" w:type="auto"/>
            <w:vAlign w:val="center"/>
          </w:tcPr>
          <w:p w14:paraId="65427B4F" w14:textId="77777777"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2AD1C412" w14:textId="42816F6C"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C61661" w:rsidRPr="00B56577" w14:paraId="7ADA4082" w14:textId="77777777" w:rsidTr="00823CF0">
        <w:trPr>
          <w:cantSplit/>
          <w:trHeight w:val="1404"/>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65D70091" w14:textId="0EB2DC89" w:rsidR="00C61661" w:rsidRPr="00B56577" w:rsidRDefault="00C61661" w:rsidP="00C61661">
            <w:pPr>
              <w:pStyle w:val="TableText-Left"/>
              <w:spacing w:line="276" w:lineRule="auto"/>
              <w:jc w:val="center"/>
              <w:rPr>
                <w:rFonts w:ascii="Lato" w:hAnsi="Lato"/>
                <w:color w:val="auto"/>
              </w:rPr>
            </w:pPr>
            <w:r w:rsidRPr="00B56577">
              <w:rPr>
                <w:rFonts w:ascii="Lato" w:hAnsi="Lato"/>
                <w:color w:val="auto"/>
              </w:rPr>
              <w:t>Q</w:t>
            </w:r>
            <w:r>
              <w:rPr>
                <w:rFonts w:ascii="Lato" w:hAnsi="Lato"/>
                <w:color w:val="auto"/>
              </w:rPr>
              <w:t>7</w:t>
            </w:r>
          </w:p>
        </w:tc>
        <w:tc>
          <w:tcPr>
            <w:tcW w:w="9368" w:type="dxa"/>
            <w:vAlign w:val="center"/>
          </w:tcPr>
          <w:p w14:paraId="043DABD2" w14:textId="5187E243"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Do you have any comments on the proposed enduring rules for the replacement of   2/3G Mesh Communications Hubs, including the proposal to protect active Mesh CH Gateways and Hops until 31 December 2031?</w:t>
            </w:r>
          </w:p>
        </w:tc>
        <w:tc>
          <w:tcPr>
            <w:tcW w:w="0" w:type="auto"/>
            <w:vAlign w:val="center"/>
          </w:tcPr>
          <w:p w14:paraId="2A900983" w14:textId="77777777"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4CF55567" w14:textId="72C9BFD4"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C61661" w:rsidRPr="00B56577" w14:paraId="56F25F43" w14:textId="77777777" w:rsidTr="00823CF0">
        <w:trPr>
          <w:cantSplit/>
          <w:trHeight w:val="1404"/>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6B1E9726" w14:textId="1EFF167C" w:rsidR="00C61661" w:rsidRPr="00B56577" w:rsidRDefault="00C61661" w:rsidP="00C61661">
            <w:pPr>
              <w:pStyle w:val="TableText-Left"/>
              <w:spacing w:line="276" w:lineRule="auto"/>
              <w:jc w:val="center"/>
              <w:rPr>
                <w:rFonts w:ascii="Lato" w:hAnsi="Lato"/>
                <w:color w:val="auto"/>
              </w:rPr>
            </w:pPr>
            <w:r w:rsidRPr="00B56577">
              <w:rPr>
                <w:rFonts w:ascii="Lato" w:hAnsi="Lato"/>
                <w:color w:val="auto"/>
              </w:rPr>
              <w:t>Q</w:t>
            </w:r>
            <w:r>
              <w:rPr>
                <w:rFonts w:ascii="Lato" w:hAnsi="Lato"/>
                <w:color w:val="auto"/>
              </w:rPr>
              <w:t>8</w:t>
            </w:r>
          </w:p>
        </w:tc>
        <w:tc>
          <w:tcPr>
            <w:tcW w:w="9368" w:type="dxa"/>
            <w:vAlign w:val="center"/>
          </w:tcPr>
          <w:p w14:paraId="0F997735" w14:textId="39D51CF7"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Do you have any comments on the proposed date of 1 January 2025 and whether this is an appropriate time from which DCC will provide reporting on Active Mesh Gateways and Hops?</w:t>
            </w:r>
          </w:p>
        </w:tc>
        <w:tc>
          <w:tcPr>
            <w:tcW w:w="0" w:type="auto"/>
            <w:vAlign w:val="center"/>
          </w:tcPr>
          <w:p w14:paraId="5AC12BDE" w14:textId="77777777"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0D7EDD09" w14:textId="3FBCC355"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C61661" w:rsidRPr="00B56577" w14:paraId="33DCC183" w14:textId="77777777" w:rsidTr="00823CF0">
        <w:trPr>
          <w:cantSplit/>
          <w:trHeight w:val="1404"/>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02D149EB" w14:textId="300479B6" w:rsidR="00C61661" w:rsidRPr="00B56577" w:rsidRDefault="00C61661" w:rsidP="00C61661">
            <w:pPr>
              <w:pStyle w:val="TableText-Left"/>
              <w:spacing w:line="276" w:lineRule="auto"/>
              <w:jc w:val="center"/>
              <w:rPr>
                <w:rFonts w:ascii="Lato" w:hAnsi="Lato"/>
                <w:color w:val="auto"/>
              </w:rPr>
            </w:pPr>
            <w:r w:rsidRPr="00B56577">
              <w:rPr>
                <w:rFonts w:ascii="Lato" w:hAnsi="Lato"/>
                <w:color w:val="auto"/>
              </w:rPr>
              <w:t>Q</w:t>
            </w:r>
            <w:r>
              <w:rPr>
                <w:rFonts w:ascii="Lato" w:hAnsi="Lato"/>
                <w:color w:val="auto"/>
              </w:rPr>
              <w:t>9</w:t>
            </w:r>
          </w:p>
        </w:tc>
        <w:tc>
          <w:tcPr>
            <w:tcW w:w="9368" w:type="dxa"/>
            <w:vAlign w:val="center"/>
          </w:tcPr>
          <w:p w14:paraId="320D75D8" w14:textId="0E857A44"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Do you have any comments on the proposal that the detailed format and mechanism for this reporting will be developed so that it can be included in the SEC prior to the reporting date commencing?</w:t>
            </w:r>
          </w:p>
        </w:tc>
        <w:tc>
          <w:tcPr>
            <w:tcW w:w="0" w:type="auto"/>
            <w:vAlign w:val="center"/>
          </w:tcPr>
          <w:p w14:paraId="142E06DC" w14:textId="77777777"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496E9F29" w14:textId="44C9EB88"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C61661" w:rsidRPr="00B56577" w14:paraId="5F13B40C" w14:textId="77777777" w:rsidTr="00823CF0">
        <w:trPr>
          <w:cantSplit/>
          <w:trHeight w:val="1404"/>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5718D8D1" w14:textId="0E891A1D" w:rsidR="00C61661" w:rsidRPr="00B56577" w:rsidRDefault="00C61661" w:rsidP="00C61661">
            <w:pPr>
              <w:pStyle w:val="TableText-Left"/>
              <w:spacing w:line="276" w:lineRule="auto"/>
              <w:jc w:val="center"/>
              <w:rPr>
                <w:rFonts w:ascii="Lato" w:hAnsi="Lato"/>
                <w:color w:val="auto"/>
              </w:rPr>
            </w:pPr>
            <w:r w:rsidRPr="00B56577">
              <w:rPr>
                <w:rFonts w:ascii="Lato" w:hAnsi="Lato"/>
                <w:color w:val="auto"/>
              </w:rPr>
              <w:t>Q</w:t>
            </w:r>
            <w:r>
              <w:rPr>
                <w:rFonts w:ascii="Lato" w:hAnsi="Lato"/>
                <w:color w:val="auto"/>
              </w:rPr>
              <w:t>10</w:t>
            </w:r>
          </w:p>
        </w:tc>
        <w:tc>
          <w:tcPr>
            <w:tcW w:w="9368" w:type="dxa"/>
            <w:vAlign w:val="center"/>
          </w:tcPr>
          <w:p w14:paraId="6F42B153" w14:textId="4F4F8FB2"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Do you have any detailed comments on the legal drafting in SEC Appendix I (CHIMSM), including the proposed new definitions and Clauses 8.14 and 8.15?   Please provide your rationale.</w:t>
            </w:r>
          </w:p>
        </w:tc>
        <w:tc>
          <w:tcPr>
            <w:tcW w:w="0" w:type="auto"/>
            <w:vAlign w:val="center"/>
          </w:tcPr>
          <w:p w14:paraId="752BFBA9" w14:textId="77777777"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6C99B077" w14:textId="33626C45"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C61661" w:rsidRPr="00B56577" w14:paraId="09772BE6" w14:textId="77777777" w:rsidTr="00823CF0">
        <w:trPr>
          <w:cantSplit/>
          <w:trHeight w:val="1404"/>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694D39CE" w14:textId="7FD56B25" w:rsidR="00C61661" w:rsidRPr="00B56577" w:rsidRDefault="00C61661" w:rsidP="00C61661">
            <w:pPr>
              <w:pStyle w:val="TableText-Left"/>
              <w:spacing w:line="276" w:lineRule="auto"/>
              <w:jc w:val="center"/>
              <w:rPr>
                <w:rFonts w:ascii="Lato" w:hAnsi="Lato"/>
                <w:color w:val="auto"/>
              </w:rPr>
            </w:pPr>
            <w:r w:rsidRPr="00B56577">
              <w:rPr>
                <w:rFonts w:ascii="Lato" w:hAnsi="Lato"/>
                <w:color w:val="auto"/>
              </w:rPr>
              <w:t>Q1</w:t>
            </w:r>
            <w:r>
              <w:rPr>
                <w:rFonts w:ascii="Lato" w:hAnsi="Lato"/>
                <w:color w:val="auto"/>
              </w:rPr>
              <w:t>1</w:t>
            </w:r>
          </w:p>
        </w:tc>
        <w:tc>
          <w:tcPr>
            <w:tcW w:w="9368" w:type="dxa"/>
            <w:vAlign w:val="center"/>
          </w:tcPr>
          <w:p w14:paraId="52AF91DD" w14:textId="3198AB84"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Do you have any comments on the proposed changes to support IPM?</w:t>
            </w:r>
          </w:p>
        </w:tc>
        <w:tc>
          <w:tcPr>
            <w:tcW w:w="0" w:type="auto"/>
            <w:vAlign w:val="center"/>
          </w:tcPr>
          <w:p w14:paraId="34AD5E0E" w14:textId="77777777"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347BB90E" w14:textId="79FE18EC"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C61661" w:rsidRPr="00B56577" w14:paraId="35ABDF19" w14:textId="77777777" w:rsidTr="00823CF0">
        <w:trPr>
          <w:cantSplit/>
          <w:trHeight w:val="1404"/>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3BD4AEBA" w14:textId="76DD1933" w:rsidR="00C61661" w:rsidRPr="00B56577" w:rsidRDefault="00C61661" w:rsidP="00C61661">
            <w:pPr>
              <w:pStyle w:val="TableText-Left"/>
              <w:spacing w:line="276" w:lineRule="auto"/>
              <w:jc w:val="center"/>
              <w:rPr>
                <w:rFonts w:ascii="Lato" w:hAnsi="Lato"/>
                <w:color w:val="auto"/>
              </w:rPr>
            </w:pPr>
            <w:r w:rsidRPr="00B56577">
              <w:rPr>
                <w:rFonts w:ascii="Lato" w:hAnsi="Lato"/>
                <w:color w:val="auto"/>
              </w:rPr>
              <w:lastRenderedPageBreak/>
              <w:t>Q1</w:t>
            </w:r>
            <w:r>
              <w:rPr>
                <w:rFonts w:ascii="Lato" w:hAnsi="Lato"/>
                <w:color w:val="auto"/>
              </w:rPr>
              <w:t>2</w:t>
            </w:r>
          </w:p>
        </w:tc>
        <w:tc>
          <w:tcPr>
            <w:tcW w:w="9368" w:type="dxa"/>
            <w:vAlign w:val="center"/>
          </w:tcPr>
          <w:p w14:paraId="693FEF8F" w14:textId="7D818194"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Do you have any comments on the proposed transitional amendments to enabling the switching on/</w:t>
            </w:r>
            <w:proofErr w:type="gramStart"/>
            <w:r w:rsidRPr="00B56577">
              <w:rPr>
                <w:rFonts w:ascii="Lato" w:hAnsi="Lato"/>
              </w:rPr>
              <w:t>off of</w:t>
            </w:r>
            <w:proofErr w:type="gramEnd"/>
            <w:r w:rsidRPr="00B56577">
              <w:rPr>
                <w:rFonts w:ascii="Lato" w:hAnsi="Lato"/>
              </w:rPr>
              <w:t xml:space="preserve"> the SEC main body 4G provisions?  </w:t>
            </w:r>
          </w:p>
        </w:tc>
        <w:tc>
          <w:tcPr>
            <w:tcW w:w="0" w:type="auto"/>
            <w:vAlign w:val="center"/>
          </w:tcPr>
          <w:p w14:paraId="62F99FF8" w14:textId="77777777"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54D6208F" w14:textId="1D7AD71F"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C61661" w:rsidRPr="00B56577" w14:paraId="003E35D2" w14:textId="77777777" w:rsidTr="00823CF0">
        <w:trPr>
          <w:cantSplit/>
          <w:trHeight w:val="1404"/>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40D909A3" w14:textId="33DDDCFF" w:rsidR="00C61661" w:rsidRPr="00B56577" w:rsidRDefault="00C61661" w:rsidP="00C61661">
            <w:pPr>
              <w:pStyle w:val="TableText-Left"/>
              <w:spacing w:line="276" w:lineRule="auto"/>
              <w:jc w:val="center"/>
              <w:rPr>
                <w:rFonts w:ascii="Lato" w:hAnsi="Lato"/>
                <w:color w:val="auto"/>
              </w:rPr>
            </w:pPr>
            <w:r w:rsidRPr="00B56577">
              <w:rPr>
                <w:rFonts w:ascii="Lato" w:hAnsi="Lato"/>
                <w:color w:val="auto"/>
              </w:rPr>
              <w:t>Q1</w:t>
            </w:r>
            <w:r>
              <w:rPr>
                <w:rFonts w:ascii="Lato" w:hAnsi="Lato"/>
                <w:color w:val="auto"/>
              </w:rPr>
              <w:t>3</w:t>
            </w:r>
          </w:p>
        </w:tc>
        <w:tc>
          <w:tcPr>
            <w:tcW w:w="9368" w:type="dxa"/>
            <w:vAlign w:val="center"/>
          </w:tcPr>
          <w:p w14:paraId="6153853C" w14:textId="501BAFCD"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Do you have any comments on the proposed re-designation date of 1 August 2024 or as soon as reasonably practicable within one month thereafter of the CHHSM?</w:t>
            </w:r>
          </w:p>
        </w:tc>
        <w:tc>
          <w:tcPr>
            <w:tcW w:w="0" w:type="auto"/>
            <w:vAlign w:val="center"/>
          </w:tcPr>
          <w:p w14:paraId="485E8211" w14:textId="77777777"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5C2B3286" w14:textId="6CB09885"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C61661" w:rsidRPr="00B56577" w14:paraId="1A3BA580" w14:textId="77777777" w:rsidTr="00823CF0">
        <w:trPr>
          <w:cantSplit/>
          <w:trHeight w:val="1404"/>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1766E8F9" w14:textId="3653EC67" w:rsidR="00C61661" w:rsidRPr="00B56577" w:rsidRDefault="00C61661" w:rsidP="00C61661">
            <w:pPr>
              <w:pStyle w:val="TableText-Left"/>
              <w:spacing w:line="276" w:lineRule="auto"/>
              <w:jc w:val="center"/>
              <w:rPr>
                <w:rFonts w:ascii="Lato" w:hAnsi="Lato"/>
                <w:color w:val="auto"/>
              </w:rPr>
            </w:pPr>
            <w:r w:rsidRPr="00B56577">
              <w:rPr>
                <w:rFonts w:ascii="Lato" w:hAnsi="Lato"/>
                <w:color w:val="auto"/>
              </w:rPr>
              <w:t>Q1</w:t>
            </w:r>
            <w:r>
              <w:rPr>
                <w:rFonts w:ascii="Lato" w:hAnsi="Lato"/>
                <w:color w:val="auto"/>
              </w:rPr>
              <w:t>4</w:t>
            </w:r>
          </w:p>
        </w:tc>
        <w:tc>
          <w:tcPr>
            <w:tcW w:w="9368" w:type="dxa"/>
            <w:vAlign w:val="center"/>
          </w:tcPr>
          <w:p w14:paraId="62044F61" w14:textId="78587884"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Do you agree with the proposed approach to re-designate the NETMAD by 21 June 2024 and the CHIMSM by 1 November 2024? Please provide your rationale.</w:t>
            </w:r>
          </w:p>
        </w:tc>
        <w:tc>
          <w:tcPr>
            <w:tcW w:w="0" w:type="auto"/>
            <w:vAlign w:val="center"/>
          </w:tcPr>
          <w:p w14:paraId="3C25E725" w14:textId="77777777"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5A661B8C" w14:textId="152140FF" w:rsidR="00C61661" w:rsidRPr="00B56577" w:rsidRDefault="00C61661" w:rsidP="00C6166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bl>
    <w:p w14:paraId="3347CD4B" w14:textId="3D0D68B5" w:rsidR="00422EF3" w:rsidRPr="00B56577" w:rsidRDefault="00422EF3" w:rsidP="00EB0019">
      <w:pPr>
        <w:spacing w:before="0" w:after="0" w:line="276" w:lineRule="auto"/>
        <w:jc w:val="both"/>
        <w:rPr>
          <w:rFonts w:ascii="Lato" w:eastAsia="MS PGothic" w:hAnsi="Lato"/>
          <w:szCs w:val="22"/>
        </w:rPr>
      </w:pPr>
    </w:p>
    <w:sectPr w:rsidR="00422EF3" w:rsidRPr="00B56577" w:rsidSect="00B6705E">
      <w:headerReference w:type="default" r:id="rId13"/>
      <w:footerReference w:type="default" r:id="rId14"/>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77BFC" w14:textId="77777777" w:rsidR="005B7293" w:rsidRDefault="005B7293" w:rsidP="00FA568E">
      <w:pPr>
        <w:spacing w:after="0"/>
      </w:pPr>
      <w:r>
        <w:separator/>
      </w:r>
    </w:p>
  </w:endnote>
  <w:endnote w:type="continuationSeparator" w:id="0">
    <w:p w14:paraId="32B79CAC" w14:textId="77777777" w:rsidR="005B7293" w:rsidRDefault="005B7293" w:rsidP="00FA568E">
      <w:pPr>
        <w:spacing w:after="0"/>
      </w:pPr>
      <w:r>
        <w:continuationSeparator/>
      </w:r>
    </w:p>
  </w:endnote>
  <w:endnote w:type="continuationNotice" w:id="1">
    <w:p w14:paraId="748DC7FB" w14:textId="77777777" w:rsidR="005B7293" w:rsidRDefault="005B729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1EEE09D8" w:rsidR="00E34ABA" w:rsidRDefault="005F7F6C" w:rsidP="00F37854">
          <w:pPr>
            <w:pStyle w:val="Footer"/>
            <w:rPr>
              <w:sz w:val="20"/>
              <w:szCs w:val="20"/>
            </w:rPr>
          </w:pPr>
          <w:r>
            <w:rPr>
              <w:noProof/>
              <w:sz w:val="20"/>
              <w:szCs w:val="20"/>
            </w:rPr>
            <mc:AlternateContent>
              <mc:Choice Requires="wps">
                <w:drawing>
                  <wp:anchor distT="0" distB="0" distL="114300" distR="114300" simplePos="0" relativeHeight="251662336" behindDoc="0" locked="0" layoutInCell="0" allowOverlap="1" wp14:anchorId="76A40466" wp14:editId="1BA14076">
                    <wp:simplePos x="0" y="0"/>
                    <wp:positionH relativeFrom="page">
                      <wp:posOffset>0</wp:posOffset>
                    </wp:positionH>
                    <wp:positionV relativeFrom="page">
                      <wp:posOffset>7096125</wp:posOffset>
                    </wp:positionV>
                    <wp:extent cx="10692130" cy="273050"/>
                    <wp:effectExtent l="0" t="0" r="0" b="12700"/>
                    <wp:wrapNone/>
                    <wp:docPr id="2" name="MSIPCM7d6245f08f0e738f83707a39" descr="{&quot;HashCode&quot;:2052356286,&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A00C1" w14:textId="7EA575DB" w:rsidR="005F7F6C" w:rsidRPr="005F7F6C" w:rsidRDefault="005F7F6C" w:rsidP="005F7F6C">
                                <w:pPr>
                                  <w:spacing w:before="0" w:after="0"/>
                                  <w:jc w:val="center"/>
                                  <w:rPr>
                                    <w:rFonts w:ascii="Calibri" w:hAnsi="Calibri" w:cs="Calibri"/>
                                    <w:color w:val="FF0000"/>
                                  </w:rPr>
                                </w:pPr>
                                <w:r w:rsidRPr="005F7F6C">
                                  <w:rPr>
                                    <w:rFonts w:ascii="Calibri" w:hAnsi="Calibri" w:cs="Calibri"/>
                                    <w:color w:val="FF0000"/>
                                  </w:rPr>
                                  <w:t>DCC Controlled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A40466" id="_x0000_t202" coordsize="21600,21600" o:spt="202" path="m,l,21600r21600,l21600,xe">
                    <v:stroke joinstyle="miter"/>
                    <v:path gradientshapeok="t" o:connecttype="rect"/>
                  </v:shapetype>
                  <v:shape id="MSIPCM7d6245f08f0e738f83707a39" o:spid="_x0000_s1026" type="#_x0000_t202" alt="{&quot;HashCode&quot;:2052356286,&quot;Height&quot;:595.0,&quot;Width&quot;:841.0,&quot;Placement&quot;:&quot;Footer&quot;,&quot;Index&quot;:&quot;Primary&quot;,&quot;Section&quot;:1,&quot;Top&quot;:0.0,&quot;Left&quot;:0.0}" style="position:absolute;margin-left:0;margin-top:558.75pt;width:841.9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o:allowincell="f" filled="f" stroked="f" strokeweight=".5pt">
                    <v:textbox inset=",0,,0">
                      <w:txbxContent>
                        <w:p w14:paraId="049A00C1" w14:textId="7EA575DB" w:rsidR="005F7F6C" w:rsidRPr="005F7F6C" w:rsidRDefault="005F7F6C" w:rsidP="005F7F6C">
                          <w:pPr>
                            <w:spacing w:before="0" w:after="0"/>
                            <w:jc w:val="center"/>
                            <w:rPr>
                              <w:rFonts w:ascii="Calibri" w:hAnsi="Calibri" w:cs="Calibri"/>
                              <w:color w:val="FF0000"/>
                            </w:rPr>
                          </w:pPr>
                          <w:r w:rsidRPr="005F7F6C">
                            <w:rPr>
                              <w:rFonts w:ascii="Calibri" w:hAnsi="Calibri" w:cs="Calibri"/>
                              <w:color w:val="FF0000"/>
                            </w:rPr>
                            <w:t>DCC Controlled</w:t>
                          </w:r>
                        </w:p>
                      </w:txbxContent>
                    </v:textbox>
                    <w10:wrap anchorx="page" anchory="page"/>
                  </v:shape>
                </w:pict>
              </mc:Fallback>
            </mc:AlternateContent>
          </w:r>
          <w:r w:rsidR="00812636">
            <w:rPr>
              <w:sz w:val="20"/>
              <w:szCs w:val="20"/>
            </w:rPr>
            <w:t>CH&amp;N</w:t>
          </w:r>
          <w:r w:rsidR="004D59CB">
            <w:rPr>
              <w:sz w:val="20"/>
              <w:szCs w:val="20"/>
            </w:rPr>
            <w:t xml:space="preserve"> Response Template</w:t>
          </w:r>
        </w:p>
      </w:tc>
      <w:tc>
        <w:tcPr>
          <w:tcW w:w="1666" w:type="pct"/>
        </w:tcPr>
        <w:p w14:paraId="1FDA7819" w14:textId="6B89DF94"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1B19" w14:textId="77777777" w:rsidR="005B7293" w:rsidRDefault="005B7293" w:rsidP="00FA568E">
      <w:pPr>
        <w:spacing w:after="0"/>
      </w:pPr>
      <w:r>
        <w:separator/>
      </w:r>
    </w:p>
  </w:footnote>
  <w:footnote w:type="continuationSeparator" w:id="0">
    <w:p w14:paraId="767F2A71" w14:textId="77777777" w:rsidR="005B7293" w:rsidRDefault="005B7293" w:rsidP="00FA568E">
      <w:pPr>
        <w:spacing w:after="0"/>
      </w:pPr>
      <w:r>
        <w:continuationSeparator/>
      </w:r>
    </w:p>
  </w:footnote>
  <w:footnote w:type="continuationNotice" w:id="1">
    <w:p w14:paraId="2450CA25" w14:textId="77777777" w:rsidR="005B7293" w:rsidRDefault="005B729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7C64D854" w:rsidR="0052508C" w:rsidRPr="00B56577" w:rsidRDefault="0052508C" w:rsidP="0052508C">
    <w:pPr>
      <w:pStyle w:val="DocumentControlHeading"/>
      <w:rPr>
        <w:rFonts w:ascii="Lato" w:hAnsi="Lato"/>
      </w:rPr>
    </w:pPr>
    <w:r w:rsidRPr="00B56577">
      <w:rPr>
        <w:rFonts w:ascii="Lato" w:hAnsi="Lato"/>
      </w:rPr>
      <w:t>Response to</w:t>
    </w:r>
    <w:r w:rsidR="00201D17" w:rsidRPr="00B56577">
      <w:rPr>
        <w:rFonts w:ascii="Lato" w:hAnsi="Lato"/>
      </w:rPr>
      <w:t xml:space="preserve"> CH&amp;N </w:t>
    </w:r>
    <w:r w:rsidRPr="00B56577">
      <w:rPr>
        <w:rFonts w:ascii="Lato" w:hAnsi="Lato"/>
      </w:rPr>
      <w:t>Consultation</w:t>
    </w:r>
    <w:r w:rsidR="00BB0E24" w:rsidRPr="00B56577">
      <w:rPr>
        <w:rFonts w:ascii="Lato" w:hAnsi="Lato"/>
      </w:rPr>
      <w:t xml:space="preserve"> </w:t>
    </w:r>
    <w:r w:rsidR="001134FF" w:rsidRPr="00B56577">
      <w:rPr>
        <w:rFonts w:ascii="Lato" w:hAnsi="Lato"/>
      </w:rPr>
      <w:t>on Phase 2 Regulatory Changes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490433">
    <w:abstractNumId w:val="2"/>
  </w:num>
  <w:num w:numId="2" w16cid:durableId="1605572338">
    <w:abstractNumId w:val="0"/>
  </w:num>
  <w:num w:numId="3" w16cid:durableId="1226914114">
    <w:abstractNumId w:val="20"/>
  </w:num>
  <w:num w:numId="4" w16cid:durableId="1223830764">
    <w:abstractNumId w:val="26"/>
  </w:num>
  <w:num w:numId="5" w16cid:durableId="645664939">
    <w:abstractNumId w:val="28"/>
  </w:num>
  <w:num w:numId="6" w16cid:durableId="546650569">
    <w:abstractNumId w:val="14"/>
  </w:num>
  <w:num w:numId="7" w16cid:durableId="1813059216">
    <w:abstractNumId w:val="7"/>
  </w:num>
  <w:num w:numId="8" w16cid:durableId="2033220966">
    <w:abstractNumId w:val="10"/>
  </w:num>
  <w:num w:numId="9" w16cid:durableId="1914702141">
    <w:abstractNumId w:val="4"/>
  </w:num>
  <w:num w:numId="10" w16cid:durableId="1376851018">
    <w:abstractNumId w:val="12"/>
  </w:num>
  <w:num w:numId="11" w16cid:durableId="1449617638">
    <w:abstractNumId w:val="15"/>
  </w:num>
  <w:num w:numId="12" w16cid:durableId="956641396">
    <w:abstractNumId w:val="19"/>
  </w:num>
  <w:num w:numId="13" w16cid:durableId="348720779">
    <w:abstractNumId w:val="30"/>
  </w:num>
  <w:num w:numId="14" w16cid:durableId="1872722695">
    <w:abstractNumId w:val="1"/>
  </w:num>
  <w:num w:numId="15" w16cid:durableId="1163738551">
    <w:abstractNumId w:val="25"/>
  </w:num>
  <w:num w:numId="16" w16cid:durableId="839321112">
    <w:abstractNumId w:val="22"/>
  </w:num>
  <w:num w:numId="17" w16cid:durableId="1133864700">
    <w:abstractNumId w:val="24"/>
  </w:num>
  <w:num w:numId="18" w16cid:durableId="75637264">
    <w:abstractNumId w:val="11"/>
  </w:num>
  <w:num w:numId="19" w16cid:durableId="1566067005">
    <w:abstractNumId w:val="8"/>
  </w:num>
  <w:num w:numId="20" w16cid:durableId="1428306469">
    <w:abstractNumId w:val="3"/>
  </w:num>
  <w:num w:numId="21" w16cid:durableId="1219786140">
    <w:abstractNumId w:val="13"/>
  </w:num>
  <w:num w:numId="22" w16cid:durableId="553472640">
    <w:abstractNumId w:val="21"/>
  </w:num>
  <w:num w:numId="23" w16cid:durableId="1596669570">
    <w:abstractNumId w:val="20"/>
  </w:num>
  <w:num w:numId="24" w16cid:durableId="1352756592">
    <w:abstractNumId w:val="23"/>
  </w:num>
  <w:num w:numId="25" w16cid:durableId="817653496">
    <w:abstractNumId w:val="27"/>
  </w:num>
  <w:num w:numId="26" w16cid:durableId="223613233">
    <w:abstractNumId w:val="29"/>
  </w:num>
  <w:num w:numId="27" w16cid:durableId="1466005572">
    <w:abstractNumId w:val="9"/>
  </w:num>
  <w:num w:numId="28" w16cid:durableId="505218430">
    <w:abstractNumId w:val="16"/>
  </w:num>
  <w:num w:numId="29" w16cid:durableId="269512693">
    <w:abstractNumId w:val="17"/>
  </w:num>
  <w:num w:numId="30" w16cid:durableId="199167186">
    <w:abstractNumId w:val="6"/>
  </w:num>
  <w:num w:numId="31" w16cid:durableId="1876573710">
    <w:abstractNumId w:val="32"/>
  </w:num>
  <w:num w:numId="32" w16cid:durableId="688145661">
    <w:abstractNumId w:val="5"/>
  </w:num>
  <w:num w:numId="33" w16cid:durableId="1035077202">
    <w:abstractNumId w:val="18"/>
  </w:num>
  <w:num w:numId="34" w16cid:durableId="513805101">
    <w:abstractNumId w:val="31"/>
  </w:num>
  <w:num w:numId="35" w16cid:durableId="833491217">
    <w:abstractNumId w:val="30"/>
  </w:num>
  <w:num w:numId="36" w16cid:durableId="1313607884">
    <w:abstractNumId w:val="30"/>
  </w:num>
  <w:num w:numId="37" w16cid:durableId="1092973961">
    <w:abstractNumId w:val="30"/>
  </w:num>
  <w:num w:numId="38" w16cid:durableId="1889871815">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A57"/>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465D"/>
    <w:rsid w:val="00105220"/>
    <w:rsid w:val="00105E01"/>
    <w:rsid w:val="00106946"/>
    <w:rsid w:val="00106A09"/>
    <w:rsid w:val="001075BC"/>
    <w:rsid w:val="00107C8E"/>
    <w:rsid w:val="00110084"/>
    <w:rsid w:val="001102FE"/>
    <w:rsid w:val="001106F5"/>
    <w:rsid w:val="001118EB"/>
    <w:rsid w:val="001134FF"/>
    <w:rsid w:val="00113FB8"/>
    <w:rsid w:val="001142F7"/>
    <w:rsid w:val="001148E9"/>
    <w:rsid w:val="001149F2"/>
    <w:rsid w:val="00115156"/>
    <w:rsid w:val="001154B4"/>
    <w:rsid w:val="00115CB7"/>
    <w:rsid w:val="001166AE"/>
    <w:rsid w:val="00117114"/>
    <w:rsid w:val="00117ECF"/>
    <w:rsid w:val="0012147B"/>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D17"/>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4258"/>
    <w:rsid w:val="002A56A4"/>
    <w:rsid w:val="002A67EC"/>
    <w:rsid w:val="002A729A"/>
    <w:rsid w:val="002B065C"/>
    <w:rsid w:val="002B1AEB"/>
    <w:rsid w:val="002B223F"/>
    <w:rsid w:val="002B27DF"/>
    <w:rsid w:val="002B2D03"/>
    <w:rsid w:val="002B2DF0"/>
    <w:rsid w:val="002B39A1"/>
    <w:rsid w:val="002B4809"/>
    <w:rsid w:val="002B533E"/>
    <w:rsid w:val="002B5DCC"/>
    <w:rsid w:val="002B6D09"/>
    <w:rsid w:val="002C168B"/>
    <w:rsid w:val="002C2B39"/>
    <w:rsid w:val="002C4A1A"/>
    <w:rsid w:val="002C4C2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64B0A"/>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07F5"/>
    <w:rsid w:val="003D1955"/>
    <w:rsid w:val="003D529C"/>
    <w:rsid w:val="003D5559"/>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0339"/>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8E8"/>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4FC6"/>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194"/>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D3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B7293"/>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5F7F6C"/>
    <w:rsid w:val="006008AD"/>
    <w:rsid w:val="00600FDA"/>
    <w:rsid w:val="00604014"/>
    <w:rsid w:val="0060403D"/>
    <w:rsid w:val="00605673"/>
    <w:rsid w:val="00610FEF"/>
    <w:rsid w:val="006112C6"/>
    <w:rsid w:val="006121D1"/>
    <w:rsid w:val="00613975"/>
    <w:rsid w:val="00614DBC"/>
    <w:rsid w:val="00617262"/>
    <w:rsid w:val="0062022E"/>
    <w:rsid w:val="00620282"/>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57B27"/>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0407"/>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7D9"/>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3BF2"/>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37E"/>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636"/>
    <w:rsid w:val="00812AF2"/>
    <w:rsid w:val="008141BD"/>
    <w:rsid w:val="008149F2"/>
    <w:rsid w:val="0081588D"/>
    <w:rsid w:val="00815AED"/>
    <w:rsid w:val="00816328"/>
    <w:rsid w:val="00816C33"/>
    <w:rsid w:val="00817EE8"/>
    <w:rsid w:val="00821976"/>
    <w:rsid w:val="0082203F"/>
    <w:rsid w:val="00823CF0"/>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30A"/>
    <w:rsid w:val="00875442"/>
    <w:rsid w:val="008763C7"/>
    <w:rsid w:val="00877E13"/>
    <w:rsid w:val="0088117E"/>
    <w:rsid w:val="00882708"/>
    <w:rsid w:val="008835ED"/>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C7F81"/>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643"/>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EDE"/>
    <w:rsid w:val="00AA7FBF"/>
    <w:rsid w:val="00AB1575"/>
    <w:rsid w:val="00AB20FD"/>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0B92"/>
    <w:rsid w:val="00B51605"/>
    <w:rsid w:val="00B51E7E"/>
    <w:rsid w:val="00B5420C"/>
    <w:rsid w:val="00B542AE"/>
    <w:rsid w:val="00B545FA"/>
    <w:rsid w:val="00B56160"/>
    <w:rsid w:val="00B56577"/>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2A55"/>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54E"/>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1661"/>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3F6A"/>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22DF"/>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236D"/>
    <w:rsid w:val="00D0307B"/>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28E9"/>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12CE"/>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077A"/>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9A3"/>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59EF"/>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rolment.adoption@smartdcc.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s@smartdcc.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6" ma:contentTypeDescription="Create a new document." ma:contentTypeScope="" ma:versionID="54291f322e598e2d4aedc9012c2e9938">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883826a49244b0f4efd120561725343b"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Props1.xml><?xml version="1.0" encoding="utf-8"?>
<ds:datastoreItem xmlns:ds="http://schemas.openxmlformats.org/officeDocument/2006/customXml" ds:itemID="{429ADE1C-C5CB-4571-BCB1-A77B3CF4E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af099861-8497-4a35-8ea8-f127fb0f0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95E48-08DB-4E66-858F-55FEE9C22590}">
  <ds:schemaRefs>
    <ds:schemaRef ds:uri="http://schemas.microsoft.com/sharepoint/v3/contenttype/forms"/>
  </ds:schemaRefs>
</ds:datastoreItem>
</file>

<file path=customXml/itemProps3.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customXml/itemProps4.xml><?xml version="1.0" encoding="utf-8"?>
<ds:datastoreItem xmlns:ds="http://schemas.openxmlformats.org/officeDocument/2006/customXml" ds:itemID="{2073235F-EE2F-43B9-8DED-28244F9AF450}">
  <ds:schemaRefs>
    <ds:schemaRef ds:uri="http://schemas.microsoft.com/office/2006/metadata/properties"/>
    <ds:schemaRef ds:uri="http://schemas.microsoft.com/office/infopath/2007/PartnerControls"/>
    <ds:schemaRef ds:uri="caadc02b-7cc9-4736-8b89-7694a3a12b48"/>
    <ds:schemaRef ds:uri="af099861-8497-4a35-8ea8-f127fb0f091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2024-04-24T11:11:00Z</dcterms:created>
  <dcterms:modified xsi:type="dcterms:W3CDTF">2024-04-24T14:07:00Z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620784-d3c8-4627-b614-0de6b80cc1d8_Enabled">
    <vt:lpwstr>true</vt:lpwstr>
  </property>
  <property fmtid="{D5CDD505-2E9C-101B-9397-08002B2CF9AE}" pid="3" name="MSIP_Label_6f620784-d3c8-4627-b614-0de6b80cc1d8_SetDate">
    <vt:lpwstr>2022-08-04T08:00:12Z</vt:lpwstr>
  </property>
  <property fmtid="{D5CDD505-2E9C-101B-9397-08002B2CF9AE}" pid="4" name="MSIP_Label_6f620784-d3c8-4627-b614-0de6b80cc1d8_Method">
    <vt:lpwstr>Privileged</vt:lpwstr>
  </property>
  <property fmtid="{D5CDD505-2E9C-101B-9397-08002B2CF9AE}" pid="5" name="MSIP_Label_6f620784-d3c8-4627-b614-0de6b80cc1d8_Name">
    <vt:lpwstr>DCC Controlled</vt:lpwstr>
  </property>
  <property fmtid="{D5CDD505-2E9C-101B-9397-08002B2CF9AE}" pid="6" name="MSIP_Label_6f620784-d3c8-4627-b614-0de6b80cc1d8_SiteId">
    <vt:lpwstr>d77ea84a-f7fd-4928-b8a3-64763b0a7710</vt:lpwstr>
  </property>
  <property fmtid="{D5CDD505-2E9C-101B-9397-08002B2CF9AE}" pid="7" name="MSIP_Label_6f620784-d3c8-4627-b614-0de6b80cc1d8_ActionId">
    <vt:lpwstr>3dfea34a-7d45-43e0-87aa-eba7226cc0b7</vt:lpwstr>
  </property>
  <property fmtid="{D5CDD505-2E9C-101B-9397-08002B2CF9AE}" pid="8" name="MSIP_Label_6f620784-d3c8-4627-b614-0de6b80cc1d8_ContentBits">
    <vt:lpwstr>3</vt:lpwstr>
  </property>
  <property fmtid="{D5CDD505-2E9C-101B-9397-08002B2CF9AE}" pid="9" name="ContentTypeId">
    <vt:lpwstr>0x0101004D92B00EFDEEAE479DC6E4BBBC4DC642</vt:lpwstr>
  </property>
  <property fmtid="{D5CDD505-2E9C-101B-9397-08002B2CF9AE}" pid="10" name="Order">
    <vt:r8>400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MediaServiceImageTags">
    <vt:lpwstr/>
  </property>
</Properties>
</file>