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475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18EC7A13" w:rsidR="00156F7C" w:rsidRPr="009E63EB" w:rsidRDefault="004D59CB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S1SR</w:t>
            </w:r>
            <w:r w:rsidR="008F73C6">
              <w:rPr>
                <w:b w:val="0"/>
              </w:rPr>
              <w:t xml:space="preserve"> designation</w:t>
            </w:r>
            <w:r>
              <w:rPr>
                <w:b w:val="0"/>
              </w:rPr>
              <w:t xml:space="preserve"> </w:t>
            </w:r>
            <w:r w:rsidR="00784E4C">
              <w:rPr>
                <w:b w:val="0"/>
              </w:rPr>
              <w:t>consultation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7A5B49C" w:rsidR="00E218D7" w:rsidRPr="009E63EB" w:rsidRDefault="008F73C6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26 October </w:t>
            </w:r>
            <w:r w:rsidR="00755A89" w:rsidRPr="00784E4C">
              <w:rPr>
                <w:b w:val="0"/>
              </w:rPr>
              <w:t>2021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3C4E74" w:rsidP="0086498F">
            <w:pPr>
              <w:pStyle w:val="BodyTextBold"/>
              <w:rPr>
                <w:b w:val="0"/>
              </w:rPr>
            </w:pPr>
            <w:hyperlink r:id="rId8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9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306EAEB1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0"/>
      <w:r w:rsidR="004D59CB">
        <w:rPr>
          <w:b w:val="0"/>
        </w:rPr>
        <w:t xml:space="preserve">S1SR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840"/>
        <w:gridCol w:w="9628"/>
        <w:gridCol w:w="3470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188FC9DE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t xml:space="preserve">S1SR </w:t>
            </w:r>
          </w:p>
        </w:tc>
        <w:tc>
          <w:tcPr>
            <w:tcW w:w="0" w:type="auto"/>
            <w:vAlign w:val="center"/>
          </w:tcPr>
          <w:p w14:paraId="4A576EE9" w14:textId="692260E7" w:rsidR="00312F3A" w:rsidRPr="00404F6A" w:rsidRDefault="0076244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244A">
              <w:rPr>
                <w:color w:val="5C2071" w:themeColor="accent1"/>
              </w:rPr>
              <w:t>Do you have any comments on the draft direction included in Attachment 1 or on the proposed date of 3 November 2021 or as soon as reasonably practicable within 1 month thereafter for redesignation of the S1SR?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0"/>
      <w:footerReference w:type="default" r:id="rId11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A6D9E" w14:textId="77777777" w:rsidR="00B63BEF" w:rsidRDefault="00B63BEF" w:rsidP="00FA568E">
      <w:pPr>
        <w:spacing w:after="0"/>
      </w:pPr>
      <w:r>
        <w:separator/>
      </w:r>
    </w:p>
  </w:endnote>
  <w:endnote w:type="continuationSeparator" w:id="0">
    <w:p w14:paraId="55960BD5" w14:textId="77777777" w:rsidR="00B63BEF" w:rsidRDefault="00B63BEF" w:rsidP="00FA568E">
      <w:pPr>
        <w:spacing w:after="0"/>
      </w:pPr>
      <w:r>
        <w:continuationSeparator/>
      </w:r>
    </w:p>
  </w:endnote>
  <w:endnote w:type="continuationNotice" w:id="1">
    <w:p w14:paraId="4FF42DF4" w14:textId="77777777" w:rsidR="00B63BEF" w:rsidRDefault="00B63BE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5293D1D9" w:rsidR="00E34ABA" w:rsidRDefault="004D59CB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S1SR Response Template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6EEE" w14:textId="77777777" w:rsidR="00B63BEF" w:rsidRDefault="00B63BEF" w:rsidP="00FA568E">
      <w:pPr>
        <w:spacing w:after="0"/>
      </w:pPr>
      <w:r>
        <w:separator/>
      </w:r>
    </w:p>
  </w:footnote>
  <w:footnote w:type="continuationSeparator" w:id="0">
    <w:p w14:paraId="756BF728" w14:textId="77777777" w:rsidR="00B63BEF" w:rsidRDefault="00B63BEF" w:rsidP="00FA568E">
      <w:pPr>
        <w:spacing w:after="0"/>
      </w:pPr>
      <w:r>
        <w:continuationSeparator/>
      </w:r>
    </w:p>
  </w:footnote>
  <w:footnote w:type="continuationNotice" w:id="1">
    <w:p w14:paraId="734AAE63" w14:textId="77777777" w:rsidR="00B63BEF" w:rsidRDefault="00B63BE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244A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8F73C6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2021-10-19T07:47:00Z</dcterms:created>
  <dcterms:modified xsi:type="dcterms:W3CDTF">2021-10-19T07:47:00Z</dcterms:modified>
</cp:coreProperties>
</file>