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3475"/>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6BD10F5E" w:rsidR="00156F7C" w:rsidRPr="009E63EB" w:rsidRDefault="00BD45E1" w:rsidP="009E63EB">
            <w:pPr>
              <w:pStyle w:val="BodyTextBold"/>
              <w:rPr>
                <w:b w:val="0"/>
              </w:rPr>
            </w:pPr>
            <w:r>
              <w:rPr>
                <w:b w:val="0"/>
              </w:rPr>
              <w:t xml:space="preserve">PPMID </w:t>
            </w:r>
            <w:r w:rsidR="00784E4C">
              <w:rPr>
                <w:b w:val="0"/>
              </w:rPr>
              <w:t>consultation</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5C208805" w:rsidR="00E218D7" w:rsidRPr="009E63EB" w:rsidRDefault="00BD45E1" w:rsidP="009E63EB">
            <w:pPr>
              <w:pStyle w:val="BodyTextBold"/>
              <w:rPr>
                <w:b w:val="0"/>
              </w:rPr>
            </w:pPr>
            <w:r>
              <w:rPr>
                <w:b w:val="0"/>
              </w:rPr>
              <w:t>20 August</w:t>
            </w:r>
            <w:r w:rsidR="00755A89" w:rsidRPr="00784E4C">
              <w:rPr>
                <w:b w:val="0"/>
              </w:rPr>
              <w:t xml:space="preserve"> 2021</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4371ED" w:rsidP="0086498F">
            <w:pPr>
              <w:pStyle w:val="BodyTextBold"/>
              <w:rPr>
                <w:b w:val="0"/>
              </w:rPr>
            </w:pPr>
            <w:hyperlink r:id="rId14" w:history="1">
              <w:r w:rsidR="0086498F" w:rsidRPr="00D1543C">
                <w:rPr>
                  <w:rStyle w:val="Hyperlink"/>
                </w:rPr>
                <w:t>consultations@smartdcc.co.uk</w:t>
              </w:r>
            </w:hyperlink>
            <w:hyperlink r:id="rId15"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717CFAAC"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bookmarkEnd w:id="0"/>
      <w:r w:rsidR="00BD45E1">
        <w:t>PPMIDs</w:t>
      </w:r>
    </w:p>
    <w:tbl>
      <w:tblPr>
        <w:tblStyle w:val="TableTemplate1"/>
        <w:tblW w:w="0" w:type="auto"/>
        <w:tblLook w:val="04A0" w:firstRow="1" w:lastRow="0" w:firstColumn="1" w:lastColumn="0" w:noHBand="0" w:noVBand="1"/>
      </w:tblPr>
      <w:tblGrid>
        <w:gridCol w:w="1184"/>
        <w:gridCol w:w="7311"/>
        <w:gridCol w:w="5443"/>
      </w:tblGrid>
      <w:tr w:rsidR="009E3938" w14:paraId="3E2A3BAD" w14:textId="77777777" w:rsidTr="005C6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3E343F80" w:rsidR="00674D62" w:rsidRDefault="004B2C0E" w:rsidP="00FE755A">
            <w:pPr>
              <w:pStyle w:val="TableText-Left"/>
              <w:spacing w:line="276" w:lineRule="auto"/>
              <w:jc w:val="center"/>
            </w:pPr>
            <w:r>
              <w:t>Numb</w:t>
            </w:r>
          </w:p>
        </w:tc>
        <w:tc>
          <w:tcPr>
            <w:tcW w:w="7311" w:type="dxa"/>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5443" w:type="dxa"/>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3371EE" w14:paraId="72511565" w14:textId="77777777"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F235F" w14:textId="0CF81E3B" w:rsidR="003371EE" w:rsidRDefault="003371EE" w:rsidP="003371EE">
            <w:pPr>
              <w:pStyle w:val="TableText-Left"/>
              <w:spacing w:line="276" w:lineRule="auto"/>
              <w:jc w:val="center"/>
            </w:pPr>
            <w:r w:rsidRPr="00E3768E">
              <w:rPr>
                <w:bCs/>
              </w:rPr>
              <w:t>PPMIDs Q</w:t>
            </w:r>
            <w:r>
              <w:rPr>
                <w:bCs/>
              </w:rPr>
              <w:t>1</w:t>
            </w:r>
          </w:p>
        </w:tc>
        <w:tc>
          <w:tcPr>
            <w:tcW w:w="7311" w:type="dxa"/>
            <w:vAlign w:val="center"/>
          </w:tcPr>
          <w:p w14:paraId="2E8CAFFB" w14:textId="6C332B48" w:rsidR="003371EE" w:rsidRPr="00884584"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5C62EA">
              <w:rPr>
                <w:color w:val="5C2071" w:themeColor="accent1"/>
              </w:rPr>
              <w:t>Do you have any comments on the tactical solution proposed by DCC to enable the migration of bilingual PPMIDs? Please could you provide detailed comments on the impact to you.</w:t>
            </w:r>
          </w:p>
        </w:tc>
        <w:tc>
          <w:tcPr>
            <w:tcW w:w="5443" w:type="dxa"/>
            <w:vAlign w:val="center"/>
          </w:tcPr>
          <w:p w14:paraId="1D5B9CEC" w14:textId="77777777" w:rsidR="003371EE"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3371EE"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371EE" w14:paraId="1746CC52" w14:textId="2BBE4DE6"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FB4CC4" w14:textId="25AC7F4C" w:rsidR="003371EE" w:rsidRPr="004F7708" w:rsidRDefault="003371EE" w:rsidP="003371EE">
            <w:pPr>
              <w:pStyle w:val="TableText-Left"/>
              <w:spacing w:line="276" w:lineRule="auto"/>
              <w:jc w:val="center"/>
            </w:pPr>
            <w:r w:rsidRPr="00E3768E">
              <w:rPr>
                <w:bCs/>
              </w:rPr>
              <w:t>PPMIDs Q</w:t>
            </w:r>
            <w:r>
              <w:rPr>
                <w:bCs/>
              </w:rPr>
              <w:t>2</w:t>
            </w:r>
          </w:p>
        </w:tc>
        <w:tc>
          <w:tcPr>
            <w:tcW w:w="7311" w:type="dxa"/>
            <w:vAlign w:val="center"/>
          </w:tcPr>
          <w:p w14:paraId="4A576EE9" w14:textId="46376190" w:rsidR="003371EE" w:rsidRPr="005C62EA"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5C62EA">
              <w:rPr>
                <w:color w:val="5C2071" w:themeColor="accent1"/>
              </w:rPr>
              <w:t xml:space="preserve">Do you consider that an enduring solution should be developed and further consulted upon by the DCC under BEIS transitional governance to enable operation of bilingual PPMIDs on the DCC System? </w:t>
            </w:r>
          </w:p>
        </w:tc>
        <w:tc>
          <w:tcPr>
            <w:tcW w:w="5443" w:type="dxa"/>
            <w:vAlign w:val="center"/>
          </w:tcPr>
          <w:p w14:paraId="653D1E03" w14:textId="77777777" w:rsidR="003371EE"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3371EE"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371EE" w14:paraId="5709602E" w14:textId="77777777"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962A1B" w14:textId="659C537C" w:rsidR="003371EE" w:rsidRPr="00E3768E" w:rsidRDefault="003371EE" w:rsidP="003371EE">
            <w:pPr>
              <w:pStyle w:val="TableText-Left"/>
              <w:spacing w:line="276" w:lineRule="auto"/>
              <w:jc w:val="center"/>
              <w:rPr>
                <w:bCs/>
              </w:rPr>
            </w:pPr>
            <w:r w:rsidRPr="00E3768E">
              <w:rPr>
                <w:bCs/>
              </w:rPr>
              <w:lastRenderedPageBreak/>
              <w:t>PPMIDs Q</w:t>
            </w:r>
            <w:r>
              <w:rPr>
                <w:bCs/>
              </w:rPr>
              <w:t>3</w:t>
            </w:r>
          </w:p>
        </w:tc>
        <w:tc>
          <w:tcPr>
            <w:tcW w:w="7311" w:type="dxa"/>
            <w:vAlign w:val="center"/>
          </w:tcPr>
          <w:p w14:paraId="4ADA4731" w14:textId="55A6B678" w:rsidR="003371EE" w:rsidRPr="00DF0640"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5C62EA">
              <w:rPr>
                <w:color w:val="5C2071" w:themeColor="accent1"/>
              </w:rPr>
              <w:t xml:space="preserve">Do you consider that should a Party wish to pursue an enduring </w:t>
            </w:r>
            <w:proofErr w:type="gramStart"/>
            <w:r w:rsidRPr="005C62EA">
              <w:rPr>
                <w:color w:val="5C2071" w:themeColor="accent1"/>
              </w:rPr>
              <w:t>solution,</w:t>
            </w:r>
            <w:proofErr w:type="gramEnd"/>
            <w:r w:rsidRPr="005C62EA">
              <w:rPr>
                <w:color w:val="5C2071" w:themeColor="accent1"/>
              </w:rPr>
              <w:t xml:space="preserve"> it should be raised by them as a Modification Proposal under Section D of the SEC? Please provide details of your preferred outcome?</w:t>
            </w:r>
          </w:p>
        </w:tc>
        <w:tc>
          <w:tcPr>
            <w:tcW w:w="5443" w:type="dxa"/>
            <w:vAlign w:val="center"/>
          </w:tcPr>
          <w:p w14:paraId="621EC63F" w14:textId="77777777" w:rsidR="005C62EA"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2EA0688" w14:textId="51A85041" w:rsidR="003371EE"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371EE" w14:paraId="214784E1" w14:textId="77777777"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B5C87D" w14:textId="393BA3D3" w:rsidR="003371EE" w:rsidRPr="00E3768E" w:rsidRDefault="003371EE" w:rsidP="003371EE">
            <w:pPr>
              <w:pStyle w:val="TableText-Left"/>
              <w:spacing w:line="276" w:lineRule="auto"/>
              <w:jc w:val="center"/>
              <w:rPr>
                <w:bCs/>
              </w:rPr>
            </w:pPr>
            <w:r w:rsidRPr="00E3768E">
              <w:rPr>
                <w:bCs/>
              </w:rPr>
              <w:t>PPMIDs Q</w:t>
            </w:r>
            <w:r>
              <w:rPr>
                <w:bCs/>
              </w:rPr>
              <w:t>4</w:t>
            </w:r>
          </w:p>
        </w:tc>
        <w:tc>
          <w:tcPr>
            <w:tcW w:w="7311" w:type="dxa"/>
            <w:vAlign w:val="center"/>
          </w:tcPr>
          <w:p w14:paraId="29D908A7" w14:textId="77B2EC50" w:rsidR="003371EE" w:rsidRPr="00DF0640"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5C62EA">
              <w:rPr>
                <w:color w:val="5C2071" w:themeColor="accent1"/>
              </w:rPr>
              <w:t>If an enduring solution is developed, do you think it should be done using BEIS transitional governance or a modification proposal under Section D of the SEC and how do you think an enduring approach would be best implemented? Please provide a rationale for your views.</w:t>
            </w:r>
          </w:p>
        </w:tc>
        <w:tc>
          <w:tcPr>
            <w:tcW w:w="5443" w:type="dxa"/>
            <w:vAlign w:val="center"/>
          </w:tcPr>
          <w:p w14:paraId="411BA0A2" w14:textId="77777777" w:rsidR="005C62EA"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062DACB6" w14:textId="5BEE4A94" w:rsidR="003371EE"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371EE" w14:paraId="04DAF115" w14:textId="77777777"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3271712" w14:textId="40089F15" w:rsidR="003371EE" w:rsidRPr="00E3768E" w:rsidRDefault="003371EE" w:rsidP="003371EE">
            <w:pPr>
              <w:pStyle w:val="TableText-Left"/>
              <w:spacing w:line="276" w:lineRule="auto"/>
              <w:jc w:val="center"/>
              <w:rPr>
                <w:bCs/>
              </w:rPr>
            </w:pPr>
            <w:r w:rsidRPr="00E3768E">
              <w:rPr>
                <w:bCs/>
              </w:rPr>
              <w:t>PPMIDs Q</w:t>
            </w:r>
            <w:r>
              <w:rPr>
                <w:bCs/>
              </w:rPr>
              <w:t>5</w:t>
            </w:r>
          </w:p>
        </w:tc>
        <w:tc>
          <w:tcPr>
            <w:tcW w:w="7311" w:type="dxa"/>
            <w:vAlign w:val="center"/>
          </w:tcPr>
          <w:p w14:paraId="5DACC3B6" w14:textId="2620A749" w:rsidR="003371EE" w:rsidRPr="00DF0640"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5C62EA">
              <w:rPr>
                <w:color w:val="5C2071" w:themeColor="accent1"/>
              </w:rPr>
              <w:t>Do you have any comments on the proposed SEC changes? Please provide rationale for your views.</w:t>
            </w:r>
          </w:p>
        </w:tc>
        <w:tc>
          <w:tcPr>
            <w:tcW w:w="5443" w:type="dxa"/>
            <w:vAlign w:val="center"/>
          </w:tcPr>
          <w:p w14:paraId="5FB006E6" w14:textId="77777777" w:rsidR="005C62EA"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47DD0378" w14:textId="7F059E69" w:rsidR="003371EE"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371EE" w14:paraId="7B27B4BE" w14:textId="77777777"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842732" w14:textId="25CBC2C5" w:rsidR="003371EE" w:rsidRPr="00E3768E" w:rsidRDefault="003371EE" w:rsidP="003371EE">
            <w:pPr>
              <w:pStyle w:val="TableText-Left"/>
              <w:spacing w:line="276" w:lineRule="auto"/>
              <w:jc w:val="center"/>
              <w:rPr>
                <w:bCs/>
              </w:rPr>
            </w:pPr>
            <w:r w:rsidRPr="00E3768E">
              <w:rPr>
                <w:bCs/>
              </w:rPr>
              <w:t>PPMIDs Q</w:t>
            </w:r>
            <w:r>
              <w:rPr>
                <w:bCs/>
              </w:rPr>
              <w:t>6</w:t>
            </w:r>
          </w:p>
        </w:tc>
        <w:tc>
          <w:tcPr>
            <w:tcW w:w="7311" w:type="dxa"/>
            <w:vAlign w:val="center"/>
          </w:tcPr>
          <w:p w14:paraId="0CE08FF8" w14:textId="6556065B" w:rsidR="003371EE" w:rsidRPr="00DF0640"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5C62EA">
              <w:rPr>
                <w:color w:val="5C2071" w:themeColor="accent1"/>
              </w:rPr>
              <w:t>Do you have any comments on the proposed changes to the S1SR? Please provide rationale for your views.</w:t>
            </w:r>
          </w:p>
        </w:tc>
        <w:tc>
          <w:tcPr>
            <w:tcW w:w="5443" w:type="dxa"/>
            <w:vAlign w:val="center"/>
          </w:tcPr>
          <w:p w14:paraId="159B21D3" w14:textId="77777777" w:rsidR="005C62EA"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1DFFD8AA" w14:textId="7B6D62E8" w:rsidR="003371EE"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371EE" w14:paraId="64415551" w14:textId="77777777"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01E7F4" w14:textId="14FBC6C0" w:rsidR="003371EE" w:rsidRPr="00E3768E" w:rsidRDefault="003371EE" w:rsidP="003371EE">
            <w:pPr>
              <w:pStyle w:val="TableText-Left"/>
              <w:spacing w:line="276" w:lineRule="auto"/>
              <w:jc w:val="center"/>
              <w:rPr>
                <w:bCs/>
              </w:rPr>
            </w:pPr>
            <w:r w:rsidRPr="00E3768E">
              <w:rPr>
                <w:bCs/>
              </w:rPr>
              <w:t>PPMIDs Q</w:t>
            </w:r>
            <w:r>
              <w:rPr>
                <w:bCs/>
              </w:rPr>
              <w:t>7</w:t>
            </w:r>
          </w:p>
        </w:tc>
        <w:tc>
          <w:tcPr>
            <w:tcW w:w="7311" w:type="dxa"/>
            <w:vAlign w:val="center"/>
          </w:tcPr>
          <w:p w14:paraId="172C6764" w14:textId="29BBD107" w:rsidR="003371EE" w:rsidRPr="00DF0640"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5C62EA">
              <w:rPr>
                <w:color w:val="5C2071" w:themeColor="accent1"/>
              </w:rPr>
              <w:t>Should DCC progress a change to the Secure S1SP to support the upgrade of firmware to third party PPMIDs? If so, would you like it to form part of the November 2022 Release or be done in a shorter timeframe with an increased cost due to testing?</w:t>
            </w:r>
          </w:p>
        </w:tc>
        <w:tc>
          <w:tcPr>
            <w:tcW w:w="5443" w:type="dxa"/>
            <w:vAlign w:val="center"/>
          </w:tcPr>
          <w:p w14:paraId="2E785485" w14:textId="77777777" w:rsidR="005C62EA"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1D872273" w14:textId="594F3E11" w:rsidR="003371EE"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371EE" w14:paraId="5CBD8D07" w14:textId="77777777"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2A824F" w14:textId="1A047CA8" w:rsidR="003371EE" w:rsidRPr="00E3768E" w:rsidRDefault="003371EE" w:rsidP="003371EE">
            <w:pPr>
              <w:pStyle w:val="TableText-Left"/>
              <w:spacing w:line="276" w:lineRule="auto"/>
              <w:jc w:val="center"/>
              <w:rPr>
                <w:bCs/>
              </w:rPr>
            </w:pPr>
            <w:r w:rsidRPr="00E3768E">
              <w:rPr>
                <w:bCs/>
              </w:rPr>
              <w:t>PPMIDs Q</w:t>
            </w:r>
            <w:r>
              <w:rPr>
                <w:bCs/>
              </w:rPr>
              <w:t>8</w:t>
            </w:r>
          </w:p>
        </w:tc>
        <w:tc>
          <w:tcPr>
            <w:tcW w:w="7311" w:type="dxa"/>
            <w:vAlign w:val="center"/>
          </w:tcPr>
          <w:p w14:paraId="50D5F9BF" w14:textId="254EB3EA" w:rsidR="003371EE" w:rsidRPr="00DF0640"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5C62EA">
              <w:rPr>
                <w:color w:val="5C2071" w:themeColor="accent1"/>
              </w:rPr>
              <w:t>Do you have any comments on the proposed changes to the S1SR? Please provide rationale for your views.</w:t>
            </w:r>
          </w:p>
        </w:tc>
        <w:tc>
          <w:tcPr>
            <w:tcW w:w="5443" w:type="dxa"/>
            <w:vAlign w:val="center"/>
          </w:tcPr>
          <w:p w14:paraId="500D0484" w14:textId="77777777" w:rsidR="005C62EA"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BDB078D" w14:textId="1E731CD6" w:rsidR="003371EE"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371EE" w14:paraId="5F1AED82" w14:textId="77777777"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732EE5" w14:textId="392F08C1" w:rsidR="003371EE" w:rsidRPr="00E3768E" w:rsidRDefault="003371EE" w:rsidP="003371EE">
            <w:pPr>
              <w:pStyle w:val="TableText-Left"/>
              <w:spacing w:line="276" w:lineRule="auto"/>
              <w:jc w:val="center"/>
              <w:rPr>
                <w:bCs/>
              </w:rPr>
            </w:pPr>
            <w:r w:rsidRPr="00E3768E">
              <w:rPr>
                <w:bCs/>
              </w:rPr>
              <w:t>PPMIDs Q</w:t>
            </w:r>
            <w:r>
              <w:rPr>
                <w:bCs/>
              </w:rPr>
              <w:t>9</w:t>
            </w:r>
          </w:p>
        </w:tc>
        <w:tc>
          <w:tcPr>
            <w:tcW w:w="7311" w:type="dxa"/>
            <w:vAlign w:val="center"/>
          </w:tcPr>
          <w:p w14:paraId="3FDAD3C5" w14:textId="1B9C4D95" w:rsidR="003371EE" w:rsidRPr="00DF0640"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5C62EA">
              <w:rPr>
                <w:color w:val="5C2071" w:themeColor="accent1"/>
              </w:rPr>
              <w:t>Would you like DCC to progress these changes. If so, would you like it to form part of the November 2022 Release or be done in a shorter timeframe with an increased cost due to testing?</w:t>
            </w:r>
          </w:p>
        </w:tc>
        <w:tc>
          <w:tcPr>
            <w:tcW w:w="5443" w:type="dxa"/>
            <w:vAlign w:val="center"/>
          </w:tcPr>
          <w:p w14:paraId="41261243" w14:textId="77777777" w:rsidR="005C62EA"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48FAF878" w14:textId="6C9769FB" w:rsidR="003371EE"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371EE" w14:paraId="3FFD754E" w14:textId="77777777"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D8A6AF" w14:textId="44F829B9" w:rsidR="003371EE" w:rsidRPr="00E3768E" w:rsidRDefault="003371EE" w:rsidP="003371EE">
            <w:pPr>
              <w:pStyle w:val="TableText-Left"/>
              <w:spacing w:line="276" w:lineRule="auto"/>
              <w:jc w:val="center"/>
              <w:rPr>
                <w:bCs/>
              </w:rPr>
            </w:pPr>
            <w:r w:rsidRPr="00E3768E">
              <w:rPr>
                <w:bCs/>
              </w:rPr>
              <w:lastRenderedPageBreak/>
              <w:t>PPMIDs Q</w:t>
            </w:r>
            <w:r>
              <w:rPr>
                <w:bCs/>
              </w:rPr>
              <w:t>10</w:t>
            </w:r>
          </w:p>
        </w:tc>
        <w:tc>
          <w:tcPr>
            <w:tcW w:w="7311" w:type="dxa"/>
            <w:vAlign w:val="center"/>
          </w:tcPr>
          <w:p w14:paraId="087F8BAD" w14:textId="565907B9" w:rsidR="003371EE" w:rsidRPr="00DF0640"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5C62EA">
              <w:rPr>
                <w:color w:val="5C2071" w:themeColor="accent1"/>
              </w:rPr>
              <w:t>Do you have any comments on the proposed changes to the S1SR? Please provide rationale for your views.</w:t>
            </w:r>
          </w:p>
        </w:tc>
        <w:tc>
          <w:tcPr>
            <w:tcW w:w="5443" w:type="dxa"/>
            <w:vAlign w:val="center"/>
          </w:tcPr>
          <w:p w14:paraId="07C9B3A1" w14:textId="77777777" w:rsidR="005C62EA"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201E2851" w14:textId="5FFCDB43" w:rsidR="003371EE"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371EE" w14:paraId="445E0B25" w14:textId="77777777"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99459F" w14:textId="74E8DCF0" w:rsidR="003371EE" w:rsidRPr="00E3768E" w:rsidRDefault="003371EE" w:rsidP="003371EE">
            <w:pPr>
              <w:pStyle w:val="TableText-Left"/>
              <w:spacing w:line="276" w:lineRule="auto"/>
              <w:jc w:val="center"/>
              <w:rPr>
                <w:bCs/>
              </w:rPr>
            </w:pPr>
            <w:r w:rsidRPr="00E3768E">
              <w:rPr>
                <w:bCs/>
              </w:rPr>
              <w:t>PPMIDs Q</w:t>
            </w:r>
            <w:r>
              <w:rPr>
                <w:bCs/>
              </w:rPr>
              <w:t>11</w:t>
            </w:r>
          </w:p>
        </w:tc>
        <w:tc>
          <w:tcPr>
            <w:tcW w:w="7311" w:type="dxa"/>
            <w:vAlign w:val="center"/>
          </w:tcPr>
          <w:p w14:paraId="64109A09" w14:textId="203DCD9B" w:rsidR="003371EE" w:rsidRPr="00DF0640"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5C62EA">
              <w:rPr>
                <w:color w:val="5C2071" w:themeColor="accent1"/>
              </w:rPr>
              <w:t>Do you have any comments on the proposed changes to the S1SR? Please provide rationale for your views.</w:t>
            </w:r>
          </w:p>
        </w:tc>
        <w:tc>
          <w:tcPr>
            <w:tcW w:w="5443" w:type="dxa"/>
            <w:vAlign w:val="center"/>
          </w:tcPr>
          <w:p w14:paraId="027486E4" w14:textId="77777777" w:rsidR="005C62EA"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BF22ABA" w14:textId="4B677B5F" w:rsidR="003371EE"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371EE" w14:paraId="191DCBA9" w14:textId="77777777" w:rsidTr="005C62E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6205DB" w14:textId="2EB72A37" w:rsidR="003371EE" w:rsidRPr="00E3768E" w:rsidRDefault="003371EE" w:rsidP="003371EE">
            <w:pPr>
              <w:pStyle w:val="TableText-Left"/>
              <w:spacing w:line="276" w:lineRule="auto"/>
              <w:jc w:val="center"/>
              <w:rPr>
                <w:bCs/>
              </w:rPr>
            </w:pPr>
            <w:r w:rsidRPr="00E3768E">
              <w:rPr>
                <w:bCs/>
              </w:rPr>
              <w:t>PPMIDs Q</w:t>
            </w:r>
            <w:r>
              <w:rPr>
                <w:bCs/>
              </w:rPr>
              <w:t>12</w:t>
            </w:r>
          </w:p>
        </w:tc>
        <w:tc>
          <w:tcPr>
            <w:tcW w:w="7311" w:type="dxa"/>
            <w:vAlign w:val="center"/>
          </w:tcPr>
          <w:p w14:paraId="45876F96" w14:textId="77185D8F" w:rsidR="003371EE" w:rsidRPr="00DF0640" w:rsidRDefault="003371EE" w:rsidP="003371E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5C62EA">
              <w:rPr>
                <w:color w:val="5C2071" w:themeColor="accent1"/>
              </w:rPr>
              <w:t>Do you agree with the proposed re-designation date of 10 September 2021 (or, if necessary, as soon as reasonably practicable within one month thereafter) for the updates to the S1SR CPL Requirements Document and SEC Section A changes using draft notification at Attachment 1?</w:t>
            </w:r>
          </w:p>
        </w:tc>
        <w:tc>
          <w:tcPr>
            <w:tcW w:w="5443" w:type="dxa"/>
            <w:vAlign w:val="center"/>
          </w:tcPr>
          <w:p w14:paraId="5BF4BB3D" w14:textId="77777777" w:rsidR="005C62EA"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77D09CD7" w14:textId="56BFE7D4" w:rsidR="003371EE" w:rsidRDefault="005C62EA" w:rsidP="005C62E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6"/>
      <w:footerReference w:type="default" r:id="rId17"/>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3BE5" w14:textId="77777777" w:rsidR="00D0307B" w:rsidRDefault="00D0307B" w:rsidP="00FA568E">
      <w:pPr>
        <w:spacing w:after="0"/>
      </w:pPr>
      <w:r>
        <w:separator/>
      </w:r>
    </w:p>
  </w:endnote>
  <w:endnote w:type="continuationSeparator" w:id="0">
    <w:p w14:paraId="653585B1" w14:textId="77777777" w:rsidR="00D0307B" w:rsidRDefault="00D0307B" w:rsidP="00FA568E">
      <w:pPr>
        <w:spacing w:after="0"/>
      </w:pPr>
      <w:r>
        <w:continuationSeparator/>
      </w:r>
    </w:p>
  </w:endnote>
  <w:endnote w:type="continuationNotice" w:id="1">
    <w:p w14:paraId="0809EA68" w14:textId="77777777" w:rsidR="00D0307B" w:rsidRDefault="00D030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612CA94C" w:rsidR="00E34ABA" w:rsidRDefault="00BD45E1" w:rsidP="00F37854">
          <w:pPr>
            <w:pStyle w:val="Footer"/>
            <w:rPr>
              <w:sz w:val="20"/>
              <w:szCs w:val="20"/>
            </w:rPr>
          </w:pPr>
          <w:r>
            <w:rPr>
              <w:sz w:val="20"/>
              <w:szCs w:val="20"/>
            </w:rPr>
            <w:t>PPMID Consultation</w:t>
          </w:r>
          <w:r w:rsidR="004D59CB">
            <w:rPr>
              <w:sz w:val="20"/>
              <w:szCs w:val="20"/>
            </w:rPr>
            <w:t xml:space="preserve"> Response Template</w:t>
          </w:r>
        </w:p>
      </w:tc>
      <w:tc>
        <w:tcPr>
          <w:tcW w:w="1666" w:type="pct"/>
        </w:tcPr>
        <w:p w14:paraId="1FDA7819" w14:textId="29DE7245"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238D8" w14:textId="77777777" w:rsidR="00D0307B" w:rsidRDefault="00D0307B" w:rsidP="00FA568E">
      <w:pPr>
        <w:spacing w:after="0"/>
      </w:pPr>
      <w:r>
        <w:separator/>
      </w:r>
    </w:p>
  </w:footnote>
  <w:footnote w:type="continuationSeparator" w:id="0">
    <w:p w14:paraId="7883D0E2" w14:textId="77777777" w:rsidR="00D0307B" w:rsidRDefault="00D0307B" w:rsidP="00FA568E">
      <w:pPr>
        <w:spacing w:after="0"/>
      </w:pPr>
      <w:r>
        <w:continuationSeparator/>
      </w:r>
    </w:p>
  </w:footnote>
  <w:footnote w:type="continuationNotice" w:id="1">
    <w:p w14:paraId="0FBCDC8A" w14:textId="77777777" w:rsidR="00D0307B" w:rsidRDefault="00D030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rPr>
        <w:rFonts w:hint="eastAsia"/>
      </w:rPr>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A1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43A4"/>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6351"/>
    <w:rsid w:val="000F78B1"/>
    <w:rsid w:val="00102CE8"/>
    <w:rsid w:val="00103A0A"/>
    <w:rsid w:val="001043DD"/>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626"/>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9EA"/>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18EF"/>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2F3A"/>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371EE"/>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1ED"/>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194"/>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2E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5A89"/>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43F6"/>
    <w:rsid w:val="00784E4C"/>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45A"/>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47AF8"/>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801"/>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6B0"/>
    <w:rsid w:val="00BC1C0B"/>
    <w:rsid w:val="00BC407B"/>
    <w:rsid w:val="00BC4391"/>
    <w:rsid w:val="00BC6DEA"/>
    <w:rsid w:val="00BD0879"/>
    <w:rsid w:val="00BD0A79"/>
    <w:rsid w:val="00BD0DB1"/>
    <w:rsid w:val="00BD0EC3"/>
    <w:rsid w:val="00BD2711"/>
    <w:rsid w:val="00BD3308"/>
    <w:rsid w:val="00BD393B"/>
    <w:rsid w:val="00BD3E0F"/>
    <w:rsid w:val="00BD45E1"/>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7F7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361"/>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07B"/>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006"/>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4BD2"/>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92C"/>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3768E"/>
    <w:rsid w:val="00E4093D"/>
    <w:rsid w:val="00E40BE4"/>
    <w:rsid w:val="00E417F0"/>
    <w:rsid w:val="00E425D4"/>
    <w:rsid w:val="00E4333A"/>
    <w:rsid w:val="00E439DC"/>
    <w:rsid w:val="00E43EB0"/>
    <w:rsid w:val="00E43F25"/>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0A6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rolment.adoption@smartdcc.co.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tions@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ad23c7e98a71d637d3dba7c50c6263a6">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3111fffd11295b6f32b7ed780b681ac1"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3A35D10-4F7B-44C3-A6D6-8C3AED77E51D}">
  <ds:schemaRefs>
    <ds:schemaRef ds:uri="http://schemas.microsoft.com/sharepoint/events"/>
  </ds:schemaRefs>
</ds:datastoreItem>
</file>

<file path=customXml/itemProps2.xml><?xml version="1.0" encoding="utf-8"?>
<ds:datastoreItem xmlns:ds="http://schemas.openxmlformats.org/officeDocument/2006/customXml" ds:itemID="{C95F1151-4E89-4ECC-8C78-135F0C8F283F}">
  <ds:schemaRefs>
    <ds:schemaRef ds:uri="http://schemas.openxmlformats.org/officeDocument/2006/bibliography"/>
  </ds:schemaRefs>
</ds:datastoreItem>
</file>

<file path=customXml/itemProps3.xml><?xml version="1.0" encoding="utf-8"?>
<ds:datastoreItem xmlns:ds="http://schemas.openxmlformats.org/officeDocument/2006/customXml" ds:itemID="{4F12EAC4-E335-4D27-AA1B-0BE3B209CBF8}">
  <ds:schemaRefs>
    <ds:schemaRef ds:uri="Microsoft.SharePoint.Taxonomy.ContentTypeSync"/>
  </ds:schemaRefs>
</ds:datastoreItem>
</file>

<file path=customXml/itemProps4.xml><?xml version="1.0" encoding="utf-8"?>
<ds:datastoreItem xmlns:ds="http://schemas.openxmlformats.org/officeDocument/2006/customXml" ds:itemID="{9F094CFB-D670-4DE8-A157-810597D2BE4D}">
  <ds:schemaRefs>
    <ds:schemaRef ds:uri="http://schemas.microsoft.com/office/2006/metadata/properties"/>
    <ds:schemaRef ds:uri="http://schemas.microsoft.com/office/infopath/2007/PartnerControls"/>
    <ds:schemaRef ds:uri="309ea106-2a53-4bac-bf2a-c3e0296d36fe"/>
    <ds:schemaRef ds:uri="af099861-8497-4a35-8ea8-f127fb0f0918"/>
  </ds:schemaRefs>
</ds:datastoreItem>
</file>

<file path=customXml/itemProps5.xml><?xml version="1.0" encoding="utf-8"?>
<ds:datastoreItem xmlns:ds="http://schemas.openxmlformats.org/officeDocument/2006/customXml" ds:itemID="{E08DFCC5-8AAF-4E68-9D3C-FEB4515F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7F4C85-4C55-4E16-890F-72651A78891F}">
  <ds:schemaRefs>
    <ds:schemaRef ds:uri="http://schemas.microsoft.com/sharepoint/v3/contenttype/forms"/>
  </ds:schemaRefs>
</ds:datastoreItem>
</file>

<file path=customXml/itemProps7.xml><?xml version="1.0" encoding="utf-8"?>
<ds:datastoreItem xmlns:ds="http://schemas.openxmlformats.org/officeDocument/2006/customXml" ds:itemID="{6B16A45B-B794-4B25-815C-013FC1E9F28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2021-07-27T10:05:00Z</dcterms:created>
  <dcterms:modified xsi:type="dcterms:W3CDTF">2021-07-27T10:05:00Z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TaxKeyword">
    <vt:lpwstr/>
  </property>
  <property fmtid="{D5CDD505-2E9C-101B-9397-08002B2CF9AE}" pid="4" name="SmartDCCSecurityClassification">
    <vt:lpwstr/>
  </property>
  <property fmtid="{D5CDD505-2E9C-101B-9397-08002B2CF9AE}" pid="5" name="DCCRelease">
    <vt:lpwstr/>
  </property>
  <property fmtid="{D5CDD505-2E9C-101B-9397-08002B2CF9AE}" pid="6" name="DCCDepartment">
    <vt:lpwstr/>
  </property>
  <property fmtid="{D5CDD505-2E9C-101B-9397-08002B2CF9AE}" pid="7" name="ContentTypeId">
    <vt:lpwstr>0x0101003D99FF4BEE06314F802DDB72832DC48E0065D182FE94B99F4B8AF6BEE42F502727</vt:lpwstr>
  </property>
  <property fmtid="{D5CDD505-2E9C-101B-9397-08002B2CF9AE}" pid="8" name="SmartDCCFunction">
    <vt:lpwstr>13;#Programme|e24db258-5cc0-4671-945e-52c385cb4a03</vt:lpwstr>
  </property>
  <property fmtid="{D5CDD505-2E9C-101B-9397-08002B2CF9AE}" pid="9" name="SmartDCCOrganisation">
    <vt:lpwstr/>
  </property>
  <property fmtid="{D5CDD505-2E9C-101B-9397-08002B2CF9AE}" pid="10" name="DCCDocumentStatus">
    <vt:lpwstr/>
  </property>
</Properties>
</file>