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7774"/>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30938DAE" w:rsidR="00156F7C" w:rsidRPr="009E63EB" w:rsidRDefault="00E663DE" w:rsidP="009E63EB">
            <w:pPr>
              <w:pStyle w:val="BodyTextBold"/>
              <w:rPr>
                <w:b w:val="0"/>
              </w:rPr>
            </w:pPr>
            <w:r>
              <w:rPr>
                <w:b w:val="0"/>
              </w:rPr>
              <w:t>P</w:t>
            </w:r>
            <w:r w:rsidRPr="00E663DE">
              <w:rPr>
                <w:b w:val="0"/>
              </w:rPr>
              <w:t>roposed changes to the Self-Service Interface Change Governance Process</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0203988D" w:rsidR="00E218D7" w:rsidRPr="009E63EB" w:rsidRDefault="00477631" w:rsidP="009E63EB">
            <w:pPr>
              <w:pStyle w:val="BodyTextBold"/>
              <w:rPr>
                <w:b w:val="0"/>
              </w:rPr>
            </w:pPr>
            <w:r>
              <w:rPr>
                <w:b w:val="0"/>
              </w:rPr>
              <w:t>2</w:t>
            </w:r>
            <w:r w:rsidR="00E663DE">
              <w:rPr>
                <w:b w:val="0"/>
              </w:rPr>
              <w:t>4</w:t>
            </w:r>
            <w:r>
              <w:rPr>
                <w:b w:val="0"/>
              </w:rPr>
              <w:t xml:space="preserve"> June</w:t>
            </w:r>
            <w:r w:rsidR="0086498F">
              <w:rPr>
                <w:b w:val="0"/>
              </w:rPr>
              <w:t xml:space="preserve"> 202</w:t>
            </w:r>
            <w:r w:rsidR="00B10331">
              <w:rPr>
                <w:b w:val="0"/>
              </w:rPr>
              <w:t>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BA003B"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4AEE099A"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E663DE">
        <w:rPr>
          <w:b w:val="0"/>
        </w:rPr>
        <w:t>P</w:t>
      </w:r>
      <w:r w:rsidR="00E663DE" w:rsidRPr="00E663DE">
        <w:rPr>
          <w:b w:val="0"/>
        </w:rPr>
        <w:t>roposed changes to the Self-Service Interface Change Governance Process</w:t>
      </w:r>
    </w:p>
    <w:tbl>
      <w:tblPr>
        <w:tblStyle w:val="TableTemplate1"/>
        <w:tblW w:w="0" w:type="auto"/>
        <w:tblLook w:val="04A0" w:firstRow="1" w:lastRow="0" w:firstColumn="1" w:lastColumn="0" w:noHBand="0" w:noVBand="1"/>
      </w:tblPr>
      <w:tblGrid>
        <w:gridCol w:w="840"/>
        <w:gridCol w:w="10151"/>
        <w:gridCol w:w="2947"/>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5B698376" w:rsidR="00312F3A" w:rsidRDefault="00312F3A" w:rsidP="00312F3A">
            <w:pPr>
              <w:pStyle w:val="TableText-Left"/>
              <w:spacing w:line="276" w:lineRule="auto"/>
              <w:jc w:val="center"/>
            </w:pPr>
            <w:r w:rsidRPr="004D59CB">
              <w:t xml:space="preserve"> Q1</w:t>
            </w:r>
          </w:p>
        </w:tc>
        <w:tc>
          <w:tcPr>
            <w:tcW w:w="0" w:type="auto"/>
            <w:vAlign w:val="center"/>
          </w:tcPr>
          <w:p w14:paraId="2E8CAFFB" w14:textId="51217FEC" w:rsidR="00312F3A" w:rsidRPr="00884584"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A003B">
              <w:rPr>
                <w:color w:val="5C2071" w:themeColor="accent1"/>
              </w:rPr>
              <w:t>Do you agree that the development of SIPs related to SEC Modifications should be combined with the SEC Modification process? Do you agree that the amendment is sufficient to allow SIP development to be combined with the SEC Modification process? If not, please provide a rationale for your response.</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58AA0264" w:rsidR="00312F3A" w:rsidRPr="004F7708" w:rsidRDefault="00312F3A" w:rsidP="00312F3A">
            <w:pPr>
              <w:pStyle w:val="TableText-Left"/>
              <w:spacing w:line="276" w:lineRule="auto"/>
              <w:jc w:val="center"/>
            </w:pPr>
            <w:r w:rsidRPr="004D59CB">
              <w:rPr>
                <w:bCs/>
              </w:rPr>
              <w:lastRenderedPageBreak/>
              <w:t>Q2</w:t>
            </w:r>
          </w:p>
        </w:tc>
        <w:tc>
          <w:tcPr>
            <w:tcW w:w="0" w:type="auto"/>
            <w:vAlign w:val="center"/>
          </w:tcPr>
          <w:p w14:paraId="4A576EE9" w14:textId="06C1F343" w:rsidR="00312F3A" w:rsidRPr="00E663DE"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663DE">
              <w:rPr>
                <w:color w:val="5C2071" w:themeColor="accent1"/>
              </w:rPr>
              <w:t>Do you agree with the changes made to section 1? If not, please provide a rationale for your response.</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477631" w14:paraId="278B24C8"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CD6C34" w14:textId="1AB3E215" w:rsidR="00477631" w:rsidRDefault="00477631" w:rsidP="00312F3A">
            <w:pPr>
              <w:pStyle w:val="TableText-Left"/>
              <w:spacing w:line="276" w:lineRule="auto"/>
              <w:jc w:val="center"/>
              <w:rPr>
                <w:bCs/>
              </w:rPr>
            </w:pPr>
            <w:r w:rsidRPr="004D59CB">
              <w:rPr>
                <w:bCs/>
              </w:rPr>
              <w:t>Q</w:t>
            </w:r>
            <w:r>
              <w:rPr>
                <w:bCs/>
              </w:rPr>
              <w:t>3</w:t>
            </w:r>
          </w:p>
        </w:tc>
        <w:tc>
          <w:tcPr>
            <w:tcW w:w="0" w:type="auto"/>
            <w:vAlign w:val="center"/>
          </w:tcPr>
          <w:p w14:paraId="5DBCE8E5" w14:textId="52E566BA" w:rsidR="00477631" w:rsidRPr="00477631"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663DE">
              <w:rPr>
                <w:color w:val="5C2071" w:themeColor="accent1"/>
              </w:rPr>
              <w:t>Do you agree with the changes made to section 3? If not, please provide a rationale for your response.</w:t>
            </w:r>
          </w:p>
        </w:tc>
        <w:tc>
          <w:tcPr>
            <w:tcW w:w="0" w:type="auto"/>
            <w:vAlign w:val="center"/>
          </w:tcPr>
          <w:p w14:paraId="72481324" w14:textId="77777777" w:rsidR="00477631" w:rsidRDefault="00477631" w:rsidP="0047763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33F8983" w14:textId="52134443" w:rsidR="00477631" w:rsidRDefault="00477631" w:rsidP="0047763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477631" w14:paraId="2BD6C11C"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D62CD7" w14:textId="2C08B590" w:rsidR="00477631" w:rsidRDefault="00477631" w:rsidP="00312F3A">
            <w:pPr>
              <w:pStyle w:val="TableText-Left"/>
              <w:spacing w:line="276" w:lineRule="auto"/>
              <w:jc w:val="center"/>
              <w:rPr>
                <w:bCs/>
              </w:rPr>
            </w:pPr>
            <w:r w:rsidRPr="004D59CB">
              <w:rPr>
                <w:bCs/>
              </w:rPr>
              <w:t>Q</w:t>
            </w:r>
            <w:r>
              <w:rPr>
                <w:bCs/>
              </w:rPr>
              <w:t>4</w:t>
            </w:r>
          </w:p>
        </w:tc>
        <w:tc>
          <w:tcPr>
            <w:tcW w:w="0" w:type="auto"/>
            <w:vAlign w:val="center"/>
          </w:tcPr>
          <w:p w14:paraId="14831C2F" w14:textId="1C68C97F" w:rsidR="00477631" w:rsidRPr="00477631"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663DE">
              <w:rPr>
                <w:color w:val="5C2071" w:themeColor="accent1"/>
              </w:rPr>
              <w:t>Do you agree with the changes made to section 4 requiring the Panel to provide a decision on whether the SIP should be refined or withdrawn where approval to proceed to Impact Assessment isn’t provided? If not, please provide a rationale for your response</w:t>
            </w:r>
          </w:p>
        </w:tc>
        <w:tc>
          <w:tcPr>
            <w:tcW w:w="0" w:type="auto"/>
            <w:vAlign w:val="center"/>
          </w:tcPr>
          <w:p w14:paraId="482EA5AA" w14:textId="77777777" w:rsidR="00477631" w:rsidRDefault="00477631" w:rsidP="0047763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4DCF605" w14:textId="4096571B" w:rsidR="00477631" w:rsidRDefault="00477631" w:rsidP="0047763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663DE" w14:paraId="52B0AFE3"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25A384" w14:textId="623E49A1" w:rsidR="00E663DE" w:rsidRPr="004D59CB" w:rsidRDefault="00E663DE" w:rsidP="00312F3A">
            <w:pPr>
              <w:pStyle w:val="TableText-Left"/>
              <w:spacing w:line="276" w:lineRule="auto"/>
              <w:jc w:val="center"/>
              <w:rPr>
                <w:bCs/>
              </w:rPr>
            </w:pPr>
            <w:r>
              <w:rPr>
                <w:bCs/>
              </w:rPr>
              <w:t>Q5</w:t>
            </w:r>
          </w:p>
        </w:tc>
        <w:tc>
          <w:tcPr>
            <w:tcW w:w="0" w:type="auto"/>
            <w:vAlign w:val="center"/>
          </w:tcPr>
          <w:p w14:paraId="78FEBAE5" w14:textId="5B41420D" w:rsidR="00E663DE" w:rsidRPr="00E663DE"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663DE">
              <w:rPr>
                <w:color w:val="5C2071" w:themeColor="accent1"/>
              </w:rPr>
              <w:t>Do you agree that DCC should consider the scope and complexity of an SSI change, and offer testing where larger or complexed changes are made? If not, please provide a rationale for your response.</w:t>
            </w:r>
          </w:p>
        </w:tc>
        <w:tc>
          <w:tcPr>
            <w:tcW w:w="0" w:type="auto"/>
            <w:vAlign w:val="center"/>
          </w:tcPr>
          <w:p w14:paraId="308F4359" w14:textId="77777777" w:rsidR="00E663DE" w:rsidRDefault="00E663DE" w:rsidP="00E663D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5F54C905" w14:textId="03176994" w:rsidR="00E663DE" w:rsidRDefault="00E663DE" w:rsidP="00E663D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663DE" w14:paraId="59F33BA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E83F7F" w14:textId="7256BD50" w:rsidR="00E663DE" w:rsidRDefault="00E663DE" w:rsidP="00312F3A">
            <w:pPr>
              <w:pStyle w:val="TableText-Left"/>
              <w:spacing w:line="276" w:lineRule="auto"/>
              <w:jc w:val="center"/>
              <w:rPr>
                <w:bCs/>
              </w:rPr>
            </w:pPr>
            <w:r>
              <w:rPr>
                <w:bCs/>
              </w:rPr>
              <w:t>Q6</w:t>
            </w:r>
          </w:p>
        </w:tc>
        <w:tc>
          <w:tcPr>
            <w:tcW w:w="0" w:type="auto"/>
            <w:vAlign w:val="center"/>
          </w:tcPr>
          <w:p w14:paraId="5CD8A102" w14:textId="541E4EB4" w:rsidR="00E663DE" w:rsidRPr="00E663DE"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663DE">
              <w:rPr>
                <w:color w:val="5C2071" w:themeColor="accent1"/>
              </w:rPr>
              <w:t>Do you agree that section 7 is not required and should be removed? If not, please provide a rationale for your response</w:t>
            </w:r>
          </w:p>
        </w:tc>
        <w:tc>
          <w:tcPr>
            <w:tcW w:w="0" w:type="auto"/>
            <w:vAlign w:val="center"/>
          </w:tcPr>
          <w:p w14:paraId="343A07BE" w14:textId="77777777" w:rsidR="00E663DE" w:rsidRDefault="00E663DE" w:rsidP="00E663D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DA5BA91" w14:textId="3147C79D" w:rsidR="00E663DE" w:rsidRDefault="00E663DE" w:rsidP="00E663D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663DE" w14:paraId="462B434D"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C1D47B" w14:textId="7911EAD4" w:rsidR="00E663DE" w:rsidRDefault="00E663DE" w:rsidP="00312F3A">
            <w:pPr>
              <w:pStyle w:val="TableText-Left"/>
              <w:spacing w:line="276" w:lineRule="auto"/>
              <w:jc w:val="center"/>
              <w:rPr>
                <w:bCs/>
              </w:rPr>
            </w:pPr>
            <w:r>
              <w:rPr>
                <w:bCs/>
              </w:rPr>
              <w:lastRenderedPageBreak/>
              <w:t>Q7</w:t>
            </w:r>
          </w:p>
        </w:tc>
        <w:tc>
          <w:tcPr>
            <w:tcW w:w="0" w:type="auto"/>
            <w:vAlign w:val="center"/>
          </w:tcPr>
          <w:p w14:paraId="22014794" w14:textId="53C78ABA" w:rsidR="00E663DE" w:rsidRPr="00E663DE" w:rsidRDefault="00E663D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663DE">
              <w:rPr>
                <w:color w:val="5C2071" w:themeColor="accent1"/>
              </w:rPr>
              <w:t>Do you agree with other wording changes, or do you have any concerns about changes not highlighted in this consultation paper? Please provide a rationale for your response</w:t>
            </w:r>
          </w:p>
        </w:tc>
        <w:tc>
          <w:tcPr>
            <w:tcW w:w="0" w:type="auto"/>
            <w:vAlign w:val="center"/>
          </w:tcPr>
          <w:p w14:paraId="29C1965F" w14:textId="77777777" w:rsidR="00E663DE" w:rsidRDefault="00E663DE" w:rsidP="00E663D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2623CAE4" w14:textId="02B2872B" w:rsidR="00E663DE" w:rsidRDefault="00E663DE" w:rsidP="00E663D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6220" w14:textId="77777777" w:rsidR="001A64C8" w:rsidRDefault="001A64C8" w:rsidP="00FA568E">
      <w:pPr>
        <w:spacing w:after="0"/>
      </w:pPr>
      <w:r>
        <w:separator/>
      </w:r>
    </w:p>
  </w:endnote>
  <w:endnote w:type="continuationSeparator" w:id="0">
    <w:p w14:paraId="4413118D" w14:textId="77777777" w:rsidR="001A64C8" w:rsidRDefault="001A64C8" w:rsidP="00FA568E">
      <w:pPr>
        <w:spacing w:after="0"/>
      </w:pPr>
      <w:r>
        <w:continuationSeparator/>
      </w:r>
    </w:p>
  </w:endnote>
  <w:endnote w:type="continuationNotice" w:id="1">
    <w:p w14:paraId="344EE098" w14:textId="77777777" w:rsidR="001A64C8" w:rsidRDefault="001A64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347838D9" w:rsidR="00E34ABA" w:rsidRDefault="00E663DE" w:rsidP="00F37854">
          <w:pPr>
            <w:pStyle w:val="Footer"/>
            <w:rPr>
              <w:sz w:val="20"/>
              <w:szCs w:val="20"/>
            </w:rPr>
          </w:pPr>
          <w:r w:rsidRPr="00E663DE">
            <w:rPr>
              <w:bCs/>
            </w:rPr>
            <w:t>P</w:t>
          </w:r>
          <w:r w:rsidRPr="00E663DE">
            <w:t>roposed changes to the Self-Service Interface Change Governance Process</w:t>
          </w:r>
          <w:r>
            <w:rPr>
              <w:sz w:val="20"/>
              <w:szCs w:val="20"/>
            </w:rPr>
            <w:t xml:space="preserve"> </w:t>
          </w:r>
          <w:r w:rsidR="004D59CB">
            <w:rPr>
              <w:sz w:val="20"/>
              <w:szCs w:val="20"/>
            </w:rPr>
            <w:t>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F1380" w14:textId="77777777" w:rsidR="001A64C8" w:rsidRDefault="001A64C8" w:rsidP="00FA568E">
      <w:pPr>
        <w:spacing w:after="0"/>
      </w:pPr>
      <w:r>
        <w:separator/>
      </w:r>
    </w:p>
  </w:footnote>
  <w:footnote w:type="continuationSeparator" w:id="0">
    <w:p w14:paraId="54D135EC" w14:textId="77777777" w:rsidR="001A64C8" w:rsidRDefault="001A64C8" w:rsidP="00FA568E">
      <w:pPr>
        <w:spacing w:after="0"/>
      </w:pPr>
      <w:r>
        <w:continuationSeparator/>
      </w:r>
    </w:p>
  </w:footnote>
  <w:footnote w:type="continuationNotice" w:id="1">
    <w:p w14:paraId="3E144FF8" w14:textId="77777777" w:rsidR="001A64C8" w:rsidRDefault="001A64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4C8"/>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631"/>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4DF0"/>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6E63"/>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33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03B"/>
    <w:rsid w:val="00BA081A"/>
    <w:rsid w:val="00BA1C53"/>
    <w:rsid w:val="00BA2ABF"/>
    <w:rsid w:val="00BA3310"/>
    <w:rsid w:val="00BA45DA"/>
    <w:rsid w:val="00BA51EC"/>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5D0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533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395B"/>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3DE"/>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723E-4653-42D5-A428-EAE88CA9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2122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2021-05-25T17:32:00Z</dcterms:created>
  <dcterms:modified xsi:type="dcterms:W3CDTF">2021-05-25T17:33:00Z</dcterms:modified>
</cp:coreProperties>
</file>