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2048" w:tblpY="10757"/>
        <w:tblW w:w="0" w:type="auto"/>
        <w:tblLook w:val="0480" w:firstRow="0" w:lastRow="0" w:firstColumn="1" w:lastColumn="0" w:noHBand="0" w:noVBand="1"/>
      </w:tblPr>
      <w:tblGrid>
        <w:gridCol w:w="2977"/>
        <w:gridCol w:w="5107"/>
      </w:tblGrid>
      <w:tr w:rsidR="00E218D7" w:rsidRPr="00E1498E" w14:paraId="0DD83EE2" w14:textId="77777777" w:rsidTr="00BC4391">
        <w:trPr>
          <w:trHeight w:val="340"/>
        </w:trPr>
        <w:tc>
          <w:tcPr>
            <w:tcW w:w="2977" w:type="dxa"/>
            <w:vAlign w:val="center"/>
          </w:tcPr>
          <w:p w14:paraId="4A635D72" w14:textId="77777777" w:rsidR="00E218D7" w:rsidRPr="00E1498E" w:rsidRDefault="00E218D7" w:rsidP="008F5A2C">
            <w:pPr>
              <w:pStyle w:val="CoverPageSubtext"/>
            </w:pPr>
            <w:r w:rsidRPr="00E1498E">
              <w:t>Date:</w:t>
            </w:r>
          </w:p>
        </w:tc>
        <w:tc>
          <w:tcPr>
            <w:tcW w:w="5107" w:type="dxa"/>
            <w:vAlign w:val="center"/>
          </w:tcPr>
          <w:p w14:paraId="6104BD1F" w14:textId="77777777" w:rsidR="00E218D7" w:rsidRPr="00E1498E" w:rsidRDefault="00A123E2" w:rsidP="008F49D9">
            <w:pPr>
              <w:pStyle w:val="CoverPageSubtext"/>
            </w:pPr>
            <w:r>
              <w:t>16 March 2020</w:t>
            </w:r>
          </w:p>
        </w:tc>
      </w:tr>
      <w:tr w:rsidR="00E218D7" w:rsidRPr="00E1498E" w14:paraId="2AC791C0" w14:textId="77777777" w:rsidTr="00BC4391">
        <w:trPr>
          <w:trHeight w:val="340"/>
        </w:trPr>
        <w:tc>
          <w:tcPr>
            <w:tcW w:w="2977" w:type="dxa"/>
            <w:vAlign w:val="center"/>
          </w:tcPr>
          <w:p w14:paraId="3BF117CD" w14:textId="77777777" w:rsidR="00E218D7" w:rsidRPr="00E1498E" w:rsidRDefault="00E218D7" w:rsidP="008F5A2C">
            <w:pPr>
              <w:pStyle w:val="CoverPageSubtext"/>
            </w:pPr>
            <w:r w:rsidRPr="00E1498E">
              <w:t>Classification:</w:t>
            </w:r>
          </w:p>
        </w:tc>
        <w:tc>
          <w:tcPr>
            <w:tcW w:w="5107" w:type="dxa"/>
            <w:vAlign w:val="center"/>
          </w:tcPr>
          <w:p w14:paraId="2B2AFA0D" w14:textId="77777777" w:rsidR="00E218D7" w:rsidRPr="00E1498E" w:rsidRDefault="00967ED8" w:rsidP="008F49D9">
            <w:pPr>
              <w:pStyle w:val="CoverPageSubtext"/>
            </w:pPr>
            <w:bookmarkStart w:id="0" w:name="Classification"/>
            <w:r w:rsidRPr="00967ED8">
              <w:t xml:space="preserve">DCC </w:t>
            </w:r>
            <w:bookmarkEnd w:id="0"/>
            <w:r w:rsidR="00A123E2">
              <w:t>Public</w:t>
            </w:r>
          </w:p>
        </w:tc>
      </w:tr>
    </w:tbl>
    <w:p w14:paraId="452F4219" w14:textId="77777777" w:rsidR="00A54E45" w:rsidRDefault="00A123E2" w:rsidP="00A123E2">
      <w:pPr>
        <w:pStyle w:val="CoverPageTitle"/>
        <w:sectPr w:rsidR="00A54E45" w:rsidSect="001C1CFC">
          <w:headerReference w:type="default" r:id="rId11"/>
          <w:footerReference w:type="even" r:id="rId12"/>
          <w:footerReference w:type="default" r:id="rId13"/>
          <w:headerReference w:type="first" r:id="rId14"/>
          <w:footerReference w:type="first" r:id="rId15"/>
          <w:pgSz w:w="11900" w:h="16840"/>
          <w:pgMar w:top="6237" w:right="1134" w:bottom="1440" w:left="1134" w:header="284" w:footer="709" w:gutter="0"/>
          <w:pgNumType w:start="1"/>
          <w:cols w:space="708"/>
          <w:titlePg/>
        </w:sectPr>
      </w:pPr>
      <w:r>
        <w:t xml:space="preserve">Conclusions </w:t>
      </w:r>
      <w:r w:rsidR="00A839A7">
        <w:t>from</w:t>
      </w:r>
      <w:r>
        <w:t xml:space="preserve"> the consultat</w:t>
      </w:r>
      <w:r w:rsidR="00A839A7">
        <w:t>ion</w:t>
      </w:r>
      <w:r>
        <w:t xml:space="preserve"> on the delivery plan for Enduring Change of Supplier</w:t>
      </w:r>
    </w:p>
    <w:bookmarkStart w:id="1" w:name="_Toc289088748" w:displacedByCustomXml="next"/>
    <w:sdt>
      <w:sdtPr>
        <w:rPr>
          <w:rFonts w:eastAsiaTheme="minorEastAsia" w:cs="Times New Roman"/>
          <w:b w:val="0"/>
          <w:bCs w:val="0"/>
          <w:color w:val="auto"/>
          <w:sz w:val="22"/>
          <w:szCs w:val="24"/>
        </w:rPr>
        <w:id w:val="334893921"/>
        <w:docPartObj>
          <w:docPartGallery w:val="Table of Contents"/>
          <w:docPartUnique/>
        </w:docPartObj>
      </w:sdtPr>
      <w:sdtEndPr>
        <w:rPr>
          <w:noProof/>
        </w:rPr>
      </w:sdtEndPr>
      <w:sdtContent>
        <w:p w14:paraId="4107A0A2" w14:textId="77777777" w:rsidR="00D83BB1" w:rsidRPr="007D4BF4" w:rsidRDefault="00D83BB1" w:rsidP="007D4BF4">
          <w:pPr>
            <w:pStyle w:val="TOCHeading"/>
          </w:pPr>
          <w:r w:rsidRPr="007D4BF4">
            <w:t>Table of Contents</w:t>
          </w:r>
        </w:p>
        <w:p w14:paraId="5E9979F9" w14:textId="08C8E6E2" w:rsidR="00EA53F3" w:rsidRDefault="00251828">
          <w:pPr>
            <w:pStyle w:val="TOC1"/>
            <w:rPr>
              <w:rFonts w:cstheme="minorBidi"/>
              <w:b w:val="0"/>
              <w:color w:val="auto"/>
              <w:sz w:val="22"/>
              <w:szCs w:val="22"/>
              <w:lang w:eastAsia="en-GB"/>
            </w:rPr>
          </w:pPr>
          <w:r>
            <w:fldChar w:fldCharType="begin"/>
          </w:r>
          <w:r>
            <w:instrText xml:space="preserve"> TOC \o "2-3" \h \z \t "Heading 1,1,Appendix Heading,1" </w:instrText>
          </w:r>
          <w:r>
            <w:fldChar w:fldCharType="separate"/>
          </w:r>
          <w:hyperlink w:anchor="_Toc35273514" w:history="1">
            <w:r w:rsidR="00EA53F3" w:rsidRPr="00982B75">
              <w:rPr>
                <w:rStyle w:val="Hyperlink"/>
              </w:rPr>
              <w:t>1</w:t>
            </w:r>
            <w:r w:rsidR="00EA53F3">
              <w:rPr>
                <w:rFonts w:cstheme="minorBidi"/>
                <w:b w:val="0"/>
                <w:color w:val="auto"/>
                <w:sz w:val="22"/>
                <w:szCs w:val="22"/>
                <w:lang w:eastAsia="en-GB"/>
              </w:rPr>
              <w:tab/>
            </w:r>
            <w:r w:rsidR="00EA53F3" w:rsidRPr="00982B75">
              <w:rPr>
                <w:rStyle w:val="Hyperlink"/>
              </w:rPr>
              <w:t>Introduction</w:t>
            </w:r>
            <w:r w:rsidR="00EA53F3">
              <w:rPr>
                <w:webHidden/>
              </w:rPr>
              <w:tab/>
            </w:r>
            <w:r w:rsidR="00EA53F3">
              <w:rPr>
                <w:webHidden/>
              </w:rPr>
              <w:fldChar w:fldCharType="begin"/>
            </w:r>
            <w:r w:rsidR="00EA53F3">
              <w:rPr>
                <w:webHidden/>
              </w:rPr>
              <w:instrText xml:space="preserve"> PAGEREF _Toc35273514 \h </w:instrText>
            </w:r>
            <w:r w:rsidR="00EA53F3">
              <w:rPr>
                <w:webHidden/>
              </w:rPr>
            </w:r>
            <w:r w:rsidR="00EA53F3">
              <w:rPr>
                <w:webHidden/>
              </w:rPr>
              <w:fldChar w:fldCharType="separate"/>
            </w:r>
            <w:r w:rsidR="00EA53F3">
              <w:rPr>
                <w:webHidden/>
              </w:rPr>
              <w:t>3</w:t>
            </w:r>
            <w:r w:rsidR="00EA53F3">
              <w:rPr>
                <w:webHidden/>
              </w:rPr>
              <w:fldChar w:fldCharType="end"/>
            </w:r>
          </w:hyperlink>
        </w:p>
        <w:p w14:paraId="40E9333A" w14:textId="72017DE2" w:rsidR="00EA53F3" w:rsidRDefault="00EA53F3">
          <w:pPr>
            <w:pStyle w:val="TOC1"/>
            <w:rPr>
              <w:rFonts w:cstheme="minorBidi"/>
              <w:b w:val="0"/>
              <w:color w:val="auto"/>
              <w:sz w:val="22"/>
              <w:szCs w:val="22"/>
              <w:lang w:eastAsia="en-GB"/>
            </w:rPr>
          </w:pPr>
          <w:hyperlink w:anchor="_Toc35273515" w:history="1">
            <w:r w:rsidRPr="00982B75">
              <w:rPr>
                <w:rStyle w:val="Hyperlink"/>
              </w:rPr>
              <w:t>2</w:t>
            </w:r>
            <w:r>
              <w:rPr>
                <w:rFonts w:cstheme="minorBidi"/>
                <w:b w:val="0"/>
                <w:color w:val="auto"/>
                <w:sz w:val="22"/>
                <w:szCs w:val="22"/>
                <w:lang w:eastAsia="en-GB"/>
              </w:rPr>
              <w:tab/>
            </w:r>
            <w:r w:rsidRPr="00982B75">
              <w:rPr>
                <w:rStyle w:val="Hyperlink"/>
              </w:rPr>
              <w:t>Feedback on the DCC plan</w:t>
            </w:r>
            <w:r>
              <w:rPr>
                <w:webHidden/>
              </w:rPr>
              <w:tab/>
            </w:r>
            <w:r>
              <w:rPr>
                <w:webHidden/>
              </w:rPr>
              <w:fldChar w:fldCharType="begin"/>
            </w:r>
            <w:r>
              <w:rPr>
                <w:webHidden/>
              </w:rPr>
              <w:instrText xml:space="preserve"> PAGEREF _Toc35273515 \h </w:instrText>
            </w:r>
            <w:r>
              <w:rPr>
                <w:webHidden/>
              </w:rPr>
            </w:r>
            <w:r>
              <w:rPr>
                <w:webHidden/>
              </w:rPr>
              <w:fldChar w:fldCharType="separate"/>
            </w:r>
            <w:r>
              <w:rPr>
                <w:webHidden/>
              </w:rPr>
              <w:t>3</w:t>
            </w:r>
            <w:r>
              <w:rPr>
                <w:webHidden/>
              </w:rPr>
              <w:fldChar w:fldCharType="end"/>
            </w:r>
          </w:hyperlink>
        </w:p>
        <w:p w14:paraId="4D5F15E1" w14:textId="11028AA1" w:rsidR="00EA53F3" w:rsidRDefault="00EA53F3">
          <w:pPr>
            <w:pStyle w:val="TOC2"/>
            <w:rPr>
              <w:rFonts w:cstheme="minorBidi"/>
              <w:color w:val="auto"/>
              <w:lang w:eastAsia="en-GB"/>
            </w:rPr>
          </w:pPr>
          <w:hyperlink w:anchor="_Toc35273516" w:history="1">
            <w:r w:rsidRPr="00982B75">
              <w:rPr>
                <w:rStyle w:val="Hyperlink"/>
              </w:rPr>
              <w:t>2.1</w:t>
            </w:r>
            <w:r>
              <w:rPr>
                <w:rFonts w:cstheme="minorBidi"/>
                <w:color w:val="auto"/>
                <w:lang w:eastAsia="en-GB"/>
              </w:rPr>
              <w:tab/>
            </w:r>
            <w:r w:rsidRPr="00982B75">
              <w:rPr>
                <w:rStyle w:val="Hyperlink"/>
              </w:rPr>
              <w:t>Responses to the consultation questions on the DCC plan</w:t>
            </w:r>
            <w:r>
              <w:rPr>
                <w:webHidden/>
              </w:rPr>
              <w:tab/>
            </w:r>
            <w:r>
              <w:rPr>
                <w:webHidden/>
              </w:rPr>
              <w:fldChar w:fldCharType="begin"/>
            </w:r>
            <w:r>
              <w:rPr>
                <w:webHidden/>
              </w:rPr>
              <w:instrText xml:space="preserve"> PAGEREF _Toc35273516 \h </w:instrText>
            </w:r>
            <w:r>
              <w:rPr>
                <w:webHidden/>
              </w:rPr>
            </w:r>
            <w:r>
              <w:rPr>
                <w:webHidden/>
              </w:rPr>
              <w:fldChar w:fldCharType="separate"/>
            </w:r>
            <w:r>
              <w:rPr>
                <w:webHidden/>
              </w:rPr>
              <w:t>3</w:t>
            </w:r>
            <w:r>
              <w:rPr>
                <w:webHidden/>
              </w:rPr>
              <w:fldChar w:fldCharType="end"/>
            </w:r>
          </w:hyperlink>
        </w:p>
        <w:p w14:paraId="53D74276" w14:textId="64C976DE" w:rsidR="00EA53F3" w:rsidRDefault="00EA53F3">
          <w:pPr>
            <w:pStyle w:val="TOC3"/>
            <w:rPr>
              <w:rFonts w:cstheme="minorBidi"/>
              <w:bCs w:val="0"/>
              <w:noProof/>
              <w:color w:val="auto"/>
              <w:szCs w:val="22"/>
              <w:lang w:eastAsia="en-GB"/>
            </w:rPr>
          </w:pPr>
          <w:hyperlink w:anchor="_Toc35273517" w:history="1">
            <w:r w:rsidRPr="00982B75">
              <w:rPr>
                <w:rStyle w:val="Hyperlink"/>
                <w:noProof/>
              </w:rPr>
              <w:t>2.1.1</w:t>
            </w:r>
            <w:r>
              <w:rPr>
                <w:rFonts w:cstheme="minorBidi"/>
                <w:bCs w:val="0"/>
                <w:noProof/>
                <w:color w:val="auto"/>
                <w:szCs w:val="22"/>
                <w:lang w:eastAsia="en-GB"/>
              </w:rPr>
              <w:tab/>
            </w:r>
            <w:r w:rsidRPr="00982B75">
              <w:rPr>
                <w:rStyle w:val="Hyperlink"/>
                <w:noProof/>
              </w:rPr>
              <w:t>LC13A plan and milestones (Question 1 and Question 2)</w:t>
            </w:r>
            <w:r>
              <w:rPr>
                <w:noProof/>
                <w:webHidden/>
              </w:rPr>
              <w:tab/>
            </w:r>
            <w:r>
              <w:rPr>
                <w:noProof/>
                <w:webHidden/>
              </w:rPr>
              <w:fldChar w:fldCharType="begin"/>
            </w:r>
            <w:r>
              <w:rPr>
                <w:noProof/>
                <w:webHidden/>
              </w:rPr>
              <w:instrText xml:space="preserve"> PAGEREF _Toc35273517 \h </w:instrText>
            </w:r>
            <w:r>
              <w:rPr>
                <w:noProof/>
                <w:webHidden/>
              </w:rPr>
            </w:r>
            <w:r>
              <w:rPr>
                <w:noProof/>
                <w:webHidden/>
              </w:rPr>
              <w:fldChar w:fldCharType="separate"/>
            </w:r>
            <w:r>
              <w:rPr>
                <w:noProof/>
                <w:webHidden/>
              </w:rPr>
              <w:t>4</w:t>
            </w:r>
            <w:r>
              <w:rPr>
                <w:noProof/>
                <w:webHidden/>
              </w:rPr>
              <w:fldChar w:fldCharType="end"/>
            </w:r>
          </w:hyperlink>
        </w:p>
        <w:p w14:paraId="041D8E06" w14:textId="1F8B5A88" w:rsidR="00EA53F3" w:rsidRDefault="00EA53F3">
          <w:pPr>
            <w:pStyle w:val="TOC3"/>
            <w:rPr>
              <w:rFonts w:cstheme="minorBidi"/>
              <w:bCs w:val="0"/>
              <w:noProof/>
              <w:color w:val="auto"/>
              <w:szCs w:val="22"/>
              <w:lang w:eastAsia="en-GB"/>
            </w:rPr>
          </w:pPr>
          <w:hyperlink w:anchor="_Toc35273518" w:history="1">
            <w:r w:rsidRPr="00982B75">
              <w:rPr>
                <w:rStyle w:val="Hyperlink"/>
                <w:noProof/>
              </w:rPr>
              <w:t>2.1.2</w:t>
            </w:r>
            <w:r>
              <w:rPr>
                <w:rFonts w:cstheme="minorBidi"/>
                <w:bCs w:val="0"/>
                <w:noProof/>
                <w:color w:val="auto"/>
                <w:szCs w:val="22"/>
                <w:lang w:eastAsia="en-GB"/>
              </w:rPr>
              <w:tab/>
            </w:r>
            <w:r w:rsidRPr="00982B75">
              <w:rPr>
                <w:rStyle w:val="Hyperlink"/>
                <w:noProof/>
              </w:rPr>
              <w:t>Contingency (Question 3)</w:t>
            </w:r>
            <w:r>
              <w:rPr>
                <w:noProof/>
                <w:webHidden/>
              </w:rPr>
              <w:tab/>
            </w:r>
            <w:r>
              <w:rPr>
                <w:noProof/>
                <w:webHidden/>
              </w:rPr>
              <w:fldChar w:fldCharType="begin"/>
            </w:r>
            <w:r>
              <w:rPr>
                <w:noProof/>
                <w:webHidden/>
              </w:rPr>
              <w:instrText xml:space="preserve"> PAGEREF _Toc35273518 \h </w:instrText>
            </w:r>
            <w:r>
              <w:rPr>
                <w:noProof/>
                <w:webHidden/>
              </w:rPr>
            </w:r>
            <w:r>
              <w:rPr>
                <w:noProof/>
                <w:webHidden/>
              </w:rPr>
              <w:fldChar w:fldCharType="separate"/>
            </w:r>
            <w:r>
              <w:rPr>
                <w:noProof/>
                <w:webHidden/>
              </w:rPr>
              <w:t>9</w:t>
            </w:r>
            <w:r>
              <w:rPr>
                <w:noProof/>
                <w:webHidden/>
              </w:rPr>
              <w:fldChar w:fldCharType="end"/>
            </w:r>
          </w:hyperlink>
        </w:p>
        <w:p w14:paraId="7CDE37E5" w14:textId="6D18FA29" w:rsidR="00EA53F3" w:rsidRDefault="00EA53F3">
          <w:pPr>
            <w:pStyle w:val="TOC3"/>
            <w:rPr>
              <w:rFonts w:cstheme="minorBidi"/>
              <w:bCs w:val="0"/>
              <w:noProof/>
              <w:color w:val="auto"/>
              <w:szCs w:val="22"/>
              <w:lang w:eastAsia="en-GB"/>
            </w:rPr>
          </w:pPr>
          <w:hyperlink w:anchor="_Toc35273519" w:history="1">
            <w:r w:rsidRPr="00982B75">
              <w:rPr>
                <w:rStyle w:val="Hyperlink"/>
                <w:noProof/>
              </w:rPr>
              <w:t>2.1.3</w:t>
            </w:r>
            <w:r>
              <w:rPr>
                <w:rFonts w:cstheme="minorBidi"/>
                <w:bCs w:val="0"/>
                <w:noProof/>
                <w:color w:val="auto"/>
                <w:szCs w:val="22"/>
                <w:lang w:eastAsia="en-GB"/>
              </w:rPr>
              <w:tab/>
            </w:r>
            <w:r w:rsidRPr="00982B75">
              <w:rPr>
                <w:rStyle w:val="Hyperlink"/>
                <w:noProof/>
              </w:rPr>
              <w:t>Risks, Assumptions and Dependencies (Question 4)</w:t>
            </w:r>
            <w:r>
              <w:rPr>
                <w:noProof/>
                <w:webHidden/>
              </w:rPr>
              <w:tab/>
            </w:r>
            <w:r>
              <w:rPr>
                <w:noProof/>
                <w:webHidden/>
              </w:rPr>
              <w:fldChar w:fldCharType="begin"/>
            </w:r>
            <w:r>
              <w:rPr>
                <w:noProof/>
                <w:webHidden/>
              </w:rPr>
              <w:instrText xml:space="preserve"> PAGEREF _Toc35273519 \h </w:instrText>
            </w:r>
            <w:r>
              <w:rPr>
                <w:noProof/>
                <w:webHidden/>
              </w:rPr>
            </w:r>
            <w:r>
              <w:rPr>
                <w:noProof/>
                <w:webHidden/>
              </w:rPr>
              <w:fldChar w:fldCharType="separate"/>
            </w:r>
            <w:r>
              <w:rPr>
                <w:noProof/>
                <w:webHidden/>
              </w:rPr>
              <w:t>10</w:t>
            </w:r>
            <w:r>
              <w:rPr>
                <w:noProof/>
                <w:webHidden/>
              </w:rPr>
              <w:fldChar w:fldCharType="end"/>
            </w:r>
          </w:hyperlink>
        </w:p>
        <w:p w14:paraId="74134379" w14:textId="0189A6FB" w:rsidR="00EA53F3" w:rsidRDefault="00EA53F3">
          <w:pPr>
            <w:pStyle w:val="TOC1"/>
            <w:rPr>
              <w:rFonts w:cstheme="minorBidi"/>
              <w:b w:val="0"/>
              <w:color w:val="auto"/>
              <w:sz w:val="22"/>
              <w:szCs w:val="22"/>
              <w:lang w:eastAsia="en-GB"/>
            </w:rPr>
          </w:pPr>
          <w:hyperlink w:anchor="_Toc35273520" w:history="1">
            <w:r w:rsidRPr="00982B75">
              <w:rPr>
                <w:rStyle w:val="Hyperlink"/>
              </w:rPr>
              <w:t>3</w:t>
            </w:r>
            <w:r>
              <w:rPr>
                <w:rFonts w:cstheme="minorBidi"/>
                <w:b w:val="0"/>
                <w:color w:val="auto"/>
                <w:sz w:val="22"/>
                <w:szCs w:val="22"/>
                <w:lang w:eastAsia="en-GB"/>
              </w:rPr>
              <w:tab/>
            </w:r>
            <w:r w:rsidRPr="00982B75">
              <w:rPr>
                <w:rStyle w:val="Hyperlink"/>
              </w:rPr>
              <w:t>Conclusions</w:t>
            </w:r>
            <w:r>
              <w:rPr>
                <w:webHidden/>
              </w:rPr>
              <w:tab/>
            </w:r>
            <w:r>
              <w:rPr>
                <w:webHidden/>
              </w:rPr>
              <w:fldChar w:fldCharType="begin"/>
            </w:r>
            <w:r>
              <w:rPr>
                <w:webHidden/>
              </w:rPr>
              <w:instrText xml:space="preserve"> PAGEREF _Toc35273520 \h </w:instrText>
            </w:r>
            <w:r>
              <w:rPr>
                <w:webHidden/>
              </w:rPr>
            </w:r>
            <w:r>
              <w:rPr>
                <w:webHidden/>
              </w:rPr>
              <w:fldChar w:fldCharType="separate"/>
            </w:r>
            <w:r>
              <w:rPr>
                <w:webHidden/>
              </w:rPr>
              <w:t>13</w:t>
            </w:r>
            <w:r>
              <w:rPr>
                <w:webHidden/>
              </w:rPr>
              <w:fldChar w:fldCharType="end"/>
            </w:r>
          </w:hyperlink>
        </w:p>
        <w:p w14:paraId="22107FC1" w14:textId="59CDD20D" w:rsidR="00EA53F3" w:rsidRDefault="00EA53F3">
          <w:pPr>
            <w:pStyle w:val="TOC1"/>
            <w:rPr>
              <w:rFonts w:cstheme="minorBidi"/>
              <w:b w:val="0"/>
              <w:color w:val="auto"/>
              <w:sz w:val="22"/>
              <w:szCs w:val="22"/>
              <w:lang w:eastAsia="en-GB"/>
            </w:rPr>
          </w:pPr>
          <w:hyperlink w:anchor="_Toc35273521" w:history="1">
            <w:r w:rsidRPr="00982B75">
              <w:rPr>
                <w:rStyle w:val="Hyperlink"/>
              </w:rPr>
              <w:t>4</w:t>
            </w:r>
            <w:r>
              <w:rPr>
                <w:rFonts w:cstheme="minorBidi"/>
                <w:b w:val="0"/>
                <w:color w:val="auto"/>
                <w:sz w:val="22"/>
                <w:szCs w:val="22"/>
                <w:lang w:eastAsia="en-GB"/>
              </w:rPr>
              <w:tab/>
            </w:r>
            <w:r w:rsidRPr="00982B75">
              <w:rPr>
                <w:rStyle w:val="Hyperlink"/>
              </w:rPr>
              <w:t>Next steps</w:t>
            </w:r>
            <w:r>
              <w:rPr>
                <w:webHidden/>
              </w:rPr>
              <w:tab/>
            </w:r>
            <w:r>
              <w:rPr>
                <w:webHidden/>
              </w:rPr>
              <w:fldChar w:fldCharType="begin"/>
            </w:r>
            <w:r>
              <w:rPr>
                <w:webHidden/>
              </w:rPr>
              <w:instrText xml:space="preserve"> PAGEREF _Toc35273521 \h </w:instrText>
            </w:r>
            <w:r>
              <w:rPr>
                <w:webHidden/>
              </w:rPr>
            </w:r>
            <w:r>
              <w:rPr>
                <w:webHidden/>
              </w:rPr>
              <w:fldChar w:fldCharType="separate"/>
            </w:r>
            <w:r>
              <w:rPr>
                <w:webHidden/>
              </w:rPr>
              <w:t>13</w:t>
            </w:r>
            <w:r>
              <w:rPr>
                <w:webHidden/>
              </w:rPr>
              <w:fldChar w:fldCharType="end"/>
            </w:r>
          </w:hyperlink>
        </w:p>
        <w:p w14:paraId="766942BB" w14:textId="5224889B" w:rsidR="00D83BB1" w:rsidRDefault="00251828" w:rsidP="002010E0">
          <w:pPr>
            <w:pStyle w:val="BodyTextNormal"/>
          </w:pPr>
          <w:r>
            <w:rPr>
              <w:rFonts w:asciiTheme="minorHAnsi" w:hAnsiTheme="minorHAnsi" w:cstheme="minorHAnsi"/>
              <w:b/>
              <w:color w:val="1F144A" w:themeColor="text1"/>
              <w:sz w:val="24"/>
            </w:rPr>
            <w:fldChar w:fldCharType="end"/>
          </w:r>
        </w:p>
      </w:sdtContent>
    </w:sdt>
    <w:bookmarkEnd w:id="1"/>
    <w:p w14:paraId="3F31E5C3" w14:textId="77777777" w:rsidR="00B279FC" w:rsidRPr="00B279FC" w:rsidRDefault="00B279FC" w:rsidP="007D4BF4">
      <w:pPr>
        <w:pStyle w:val="TOC3"/>
        <w:sectPr w:rsidR="00B279FC" w:rsidRPr="00B279FC" w:rsidSect="00A76C49">
          <w:headerReference w:type="default" r:id="rId16"/>
          <w:footerReference w:type="default" r:id="rId17"/>
          <w:headerReference w:type="first" r:id="rId18"/>
          <w:pgSz w:w="11900" w:h="16840"/>
          <w:pgMar w:top="1922" w:right="1134" w:bottom="1440" w:left="1134" w:header="340" w:footer="300" w:gutter="0"/>
          <w:cols w:space="708"/>
          <w:docGrid w:linePitch="299"/>
        </w:sectPr>
      </w:pPr>
    </w:p>
    <w:p w14:paraId="78483DFB" w14:textId="77777777" w:rsidR="00A123E2" w:rsidRDefault="00A839A7" w:rsidP="00256775">
      <w:pPr>
        <w:pStyle w:val="Heading1"/>
        <w:spacing w:before="120" w:after="240"/>
      </w:pPr>
      <w:bookmarkStart w:id="2" w:name="_Toc35273514"/>
      <w:r>
        <w:t>Introduction</w:t>
      </w:r>
      <w:bookmarkEnd w:id="2"/>
    </w:p>
    <w:p w14:paraId="4873B6F3" w14:textId="1A70C1BC" w:rsidR="00A839A7" w:rsidRPr="00B52CBB" w:rsidRDefault="00A839A7" w:rsidP="00EF24A0">
      <w:pPr>
        <w:pStyle w:val="ParagraphNumbering"/>
        <w:numPr>
          <w:ilvl w:val="0"/>
          <w:numId w:val="0"/>
        </w:numPr>
        <w:tabs>
          <w:tab w:val="clear" w:pos="-1134"/>
        </w:tabs>
        <w:spacing w:before="0"/>
      </w:pPr>
      <w:r w:rsidRPr="00B52CBB">
        <w:t>On 1 August 2019</w:t>
      </w:r>
      <w:r w:rsidR="000D6D5F">
        <w:t>,</w:t>
      </w:r>
      <w:r w:rsidRPr="00B52CBB">
        <w:t xml:space="preserve"> DCC received direction from BEIS for the purposes of Condition 13A of the Smart Meter Communications Licence</w:t>
      </w:r>
      <w:r w:rsidR="000D6D5F">
        <w:t xml:space="preserve"> (the DCC licence)</w:t>
      </w:r>
      <w:r w:rsidRPr="00B52CBB">
        <w:t>, to work to produce a plan for Enduring Change of Supplier</w:t>
      </w:r>
      <w:r w:rsidR="0073328E">
        <w:t xml:space="preserve"> (</w:t>
      </w:r>
      <w:proofErr w:type="spellStart"/>
      <w:r w:rsidR="0073328E">
        <w:t>ECoS</w:t>
      </w:r>
      <w:proofErr w:type="spellEnd"/>
      <w:r w:rsidR="0073328E">
        <w:t>)</w:t>
      </w:r>
      <w:r w:rsidRPr="00B52CBB">
        <w:t xml:space="preserve"> arrangements.</w:t>
      </w:r>
    </w:p>
    <w:p w14:paraId="1A3E6E55" w14:textId="37F956ED" w:rsidR="00A839A7" w:rsidRPr="00B52CBB" w:rsidRDefault="00A839A7" w:rsidP="00EF24A0">
      <w:pPr>
        <w:pStyle w:val="ParagraphNumbering"/>
        <w:numPr>
          <w:ilvl w:val="0"/>
          <w:numId w:val="0"/>
        </w:numPr>
        <w:tabs>
          <w:tab w:val="clear" w:pos="-1134"/>
        </w:tabs>
        <w:spacing w:before="0"/>
      </w:pPr>
      <w:r w:rsidRPr="00B52CBB">
        <w:t>Between August 2019 and January 2020, DCC produced a draft</w:t>
      </w:r>
      <w:r w:rsidR="003245A7">
        <w:t xml:space="preserve"> delivery</w:t>
      </w:r>
      <w:r w:rsidRPr="00B52CBB">
        <w:t xml:space="preserve"> plan for the design, development and implementation, of the systems, processes and procedures intended to comprise the </w:t>
      </w:r>
      <w:proofErr w:type="spellStart"/>
      <w:r w:rsidRPr="00B52CBB">
        <w:t>E</w:t>
      </w:r>
      <w:r w:rsidR="0073328E">
        <w:t>CoS</w:t>
      </w:r>
      <w:proofErr w:type="spellEnd"/>
      <w:r w:rsidRPr="00B52CBB">
        <w:t xml:space="preserve"> </w:t>
      </w:r>
      <w:r w:rsidR="0073328E">
        <w:t>a</w:t>
      </w:r>
      <w:r w:rsidRPr="00B52CBB">
        <w:t>rrangements</w:t>
      </w:r>
      <w:r w:rsidR="0073328E">
        <w:t xml:space="preserve"> (the delivery plan)</w:t>
      </w:r>
      <w:r w:rsidRPr="00B52CBB">
        <w:t>.</w:t>
      </w:r>
    </w:p>
    <w:p w14:paraId="681B757D" w14:textId="7A0ACEA4" w:rsidR="00A839A7" w:rsidRPr="00B52CBB" w:rsidRDefault="00A839A7" w:rsidP="00EF24A0">
      <w:pPr>
        <w:pStyle w:val="ParagraphNumbering"/>
        <w:numPr>
          <w:ilvl w:val="0"/>
          <w:numId w:val="0"/>
        </w:numPr>
        <w:tabs>
          <w:tab w:val="clear" w:pos="-1134"/>
        </w:tabs>
        <w:spacing w:before="0"/>
      </w:pPr>
      <w:r w:rsidRPr="00B52CBB">
        <w:t>In accordance with Condition 13A of the DCC licence,</w:t>
      </w:r>
      <w:r w:rsidR="0073328E">
        <w:t xml:space="preserve"> </w:t>
      </w:r>
      <w:r w:rsidRPr="00B52CBB">
        <w:t>DCC issued the SEC Panel and all SEC Parties, a draft delivery plan for consultation</w:t>
      </w:r>
      <w:r w:rsidR="0073328E">
        <w:t>, on 23 January 2020</w:t>
      </w:r>
      <w:r w:rsidRPr="00B52CBB">
        <w:t>.</w:t>
      </w:r>
    </w:p>
    <w:p w14:paraId="0077289C" w14:textId="63D38345" w:rsidR="00D20B52" w:rsidRDefault="00A839A7" w:rsidP="00EF24A0">
      <w:pPr>
        <w:pStyle w:val="ParagraphNumbering"/>
        <w:numPr>
          <w:ilvl w:val="0"/>
          <w:numId w:val="0"/>
        </w:numPr>
        <w:tabs>
          <w:tab w:val="clear" w:pos="-1134"/>
        </w:tabs>
        <w:spacing w:before="0"/>
      </w:pPr>
      <w:r w:rsidRPr="00B52CBB">
        <w:t xml:space="preserve">DCC received five </w:t>
      </w:r>
      <w:r w:rsidR="001E2153">
        <w:t xml:space="preserve">responses to the </w:t>
      </w:r>
      <w:proofErr w:type="gramStart"/>
      <w:r w:rsidR="001E2153">
        <w:t xml:space="preserve">consultation </w:t>
      </w:r>
      <w:r w:rsidR="00EF223E">
        <w:t xml:space="preserve"> on</w:t>
      </w:r>
      <w:proofErr w:type="gramEnd"/>
      <w:r w:rsidR="00EF223E">
        <w:t xml:space="preserve"> the content of the plan </w:t>
      </w:r>
      <w:r w:rsidRPr="00B52CBB">
        <w:t xml:space="preserve">and has reviewed them. We would like to thank those organisations that provided </w:t>
      </w:r>
      <w:r w:rsidR="00C73450">
        <w:t>feedback and comments on the</w:t>
      </w:r>
      <w:r w:rsidRPr="00B52CBB">
        <w:t xml:space="preserve"> delivery plan.</w:t>
      </w:r>
    </w:p>
    <w:p w14:paraId="15DB5624" w14:textId="2E7C7DD7" w:rsidR="0073328E" w:rsidRDefault="00A839A7" w:rsidP="00EF24A0">
      <w:pPr>
        <w:pStyle w:val="ParagraphNumbering"/>
        <w:numPr>
          <w:ilvl w:val="0"/>
          <w:numId w:val="0"/>
        </w:numPr>
        <w:tabs>
          <w:tab w:val="clear" w:pos="-1134"/>
        </w:tabs>
        <w:spacing w:before="0"/>
      </w:pPr>
      <w:r w:rsidRPr="00B52CBB">
        <w:t>There was broad comfort</w:t>
      </w:r>
      <w:r w:rsidR="00C73450">
        <w:t xml:space="preserve"> on the delivery plan</w:t>
      </w:r>
      <w:r w:rsidRPr="00B52CBB">
        <w:t xml:space="preserve"> from</w:t>
      </w:r>
      <w:r w:rsidR="00EF223E">
        <w:t xml:space="preserve"> respondents</w:t>
      </w:r>
      <w:r w:rsidR="00C73450">
        <w:t xml:space="preserve">. </w:t>
      </w:r>
      <w:r w:rsidR="0073328E">
        <w:t>Following feedback from consultation, DCC has</w:t>
      </w:r>
      <w:r w:rsidR="00C73450">
        <w:t xml:space="preserve"> </w:t>
      </w:r>
      <w:r w:rsidRPr="00B52CBB">
        <w:t>submitted the</w:t>
      </w:r>
      <w:r w:rsidR="0073328E">
        <w:t xml:space="preserve"> delivery</w:t>
      </w:r>
      <w:r w:rsidRPr="00B52CBB">
        <w:t xml:space="preserve"> plan</w:t>
      </w:r>
      <w:r w:rsidR="0073328E">
        <w:t xml:space="preserve"> </w:t>
      </w:r>
      <w:r w:rsidRPr="00B52CBB">
        <w:t>to the Secretary of State for approval.</w:t>
      </w:r>
    </w:p>
    <w:p w14:paraId="6E3264CE" w14:textId="33D45FF8" w:rsidR="0073328E" w:rsidRDefault="00A839A7" w:rsidP="00EF24A0">
      <w:pPr>
        <w:pStyle w:val="ParagraphNumbering"/>
        <w:numPr>
          <w:ilvl w:val="0"/>
          <w:numId w:val="0"/>
        </w:numPr>
        <w:tabs>
          <w:tab w:val="clear" w:pos="-1134"/>
        </w:tabs>
        <w:spacing w:before="0"/>
      </w:pPr>
      <w:r>
        <w:t>This document responds to several comments that were made during the consultation</w:t>
      </w:r>
      <w:r w:rsidR="0073328E">
        <w:t xml:space="preserve"> and provides a conclusion on what was amended in the final delivery plan.</w:t>
      </w:r>
    </w:p>
    <w:p w14:paraId="2D2A0270" w14:textId="77777777" w:rsidR="00A839A7" w:rsidRDefault="00D20B52" w:rsidP="00256775">
      <w:pPr>
        <w:pStyle w:val="Heading1"/>
        <w:spacing w:before="120" w:after="240"/>
      </w:pPr>
      <w:bookmarkStart w:id="3" w:name="_Toc35273515"/>
      <w:r>
        <w:t>Feedback on the DCC plan</w:t>
      </w:r>
      <w:bookmarkEnd w:id="3"/>
    </w:p>
    <w:p w14:paraId="3FAC6080" w14:textId="188F008C" w:rsidR="00A839A7" w:rsidRDefault="00D20B52" w:rsidP="00256775">
      <w:pPr>
        <w:pStyle w:val="Heading2"/>
        <w:spacing w:before="120" w:after="240"/>
      </w:pPr>
      <w:bookmarkStart w:id="4" w:name="_Toc35273516"/>
      <w:r>
        <w:t>Responses to the consultation questions on the DCC plan</w:t>
      </w:r>
      <w:bookmarkEnd w:id="4"/>
    </w:p>
    <w:p w14:paraId="14C5CA14" w14:textId="06525C27" w:rsidR="00D20B52" w:rsidRDefault="00D20B52" w:rsidP="00EF24A0">
      <w:pPr>
        <w:pStyle w:val="ParagraphNumbering"/>
        <w:numPr>
          <w:ilvl w:val="0"/>
          <w:numId w:val="0"/>
        </w:numPr>
        <w:tabs>
          <w:tab w:val="clear" w:pos="-1134"/>
        </w:tabs>
        <w:spacing w:before="0"/>
      </w:pPr>
      <w:r w:rsidRPr="00B52CBB">
        <w:t>Within its consultation</w:t>
      </w:r>
      <w:r>
        <w:t xml:space="preserve"> document</w:t>
      </w:r>
      <w:r w:rsidRPr="00B52CBB">
        <w:t>, DCC asked industry to consider four specific questions.</w:t>
      </w:r>
      <w:r w:rsidR="002A3CF4">
        <w:t xml:space="preserve"> </w:t>
      </w:r>
      <w:r w:rsidRPr="00B52CBB">
        <w:t>In total, five organisations responded</w:t>
      </w:r>
      <w:r w:rsidR="00C664F0">
        <w:t xml:space="preserve"> to the delivery plan</w:t>
      </w:r>
      <w:r w:rsidRPr="00B52CBB">
        <w:t>, providing direct responses to some, or all the questions</w:t>
      </w:r>
      <w:r w:rsidR="0064696F">
        <w:t>.</w:t>
      </w:r>
    </w:p>
    <w:p w14:paraId="02E61CFD" w14:textId="77777777" w:rsidR="003157AB" w:rsidRDefault="003157AB" w:rsidP="00EF24A0">
      <w:pPr>
        <w:pStyle w:val="ParagraphNumbering"/>
        <w:numPr>
          <w:ilvl w:val="0"/>
          <w:numId w:val="0"/>
        </w:numPr>
        <w:tabs>
          <w:tab w:val="clear" w:pos="-1134"/>
        </w:tabs>
        <w:spacing w:before="0"/>
      </w:pPr>
      <w:bookmarkStart w:id="5" w:name="_GoBack"/>
      <w:bookmarkEnd w:id="5"/>
      <w:r>
        <w:t>The questions were split into three sections:</w:t>
      </w:r>
    </w:p>
    <w:p w14:paraId="50F2C078" w14:textId="77777777" w:rsidR="003157AB" w:rsidRDefault="003157AB" w:rsidP="00256775">
      <w:pPr>
        <w:pStyle w:val="ListBullet"/>
        <w:spacing w:before="0"/>
        <w:ind w:left="1248" w:hanging="397"/>
      </w:pPr>
      <w:r>
        <w:t>LC13A plan and milestones</w:t>
      </w:r>
    </w:p>
    <w:p w14:paraId="0BCE9C08" w14:textId="77777777" w:rsidR="003157AB" w:rsidRDefault="003157AB" w:rsidP="00256775">
      <w:pPr>
        <w:pStyle w:val="ListBullet"/>
        <w:spacing w:before="0"/>
        <w:ind w:left="1248" w:hanging="397"/>
      </w:pPr>
      <w:r>
        <w:t>Contingency</w:t>
      </w:r>
    </w:p>
    <w:p w14:paraId="1044A09F" w14:textId="2F2748E3" w:rsidR="003157AB" w:rsidRDefault="003157AB" w:rsidP="00256775">
      <w:pPr>
        <w:pStyle w:val="ListBullet"/>
        <w:spacing w:before="0"/>
        <w:ind w:left="1248" w:hanging="397"/>
      </w:pPr>
      <w:r>
        <w:t xml:space="preserve">Risks, </w:t>
      </w:r>
      <w:r w:rsidR="00893BCA">
        <w:t>a</w:t>
      </w:r>
      <w:r>
        <w:t>ssumptions and dependencies</w:t>
      </w:r>
    </w:p>
    <w:p w14:paraId="33D2B2B4" w14:textId="7C23CE06" w:rsidR="00791675" w:rsidRDefault="003157AB" w:rsidP="00EF24A0">
      <w:pPr>
        <w:pStyle w:val="ParagraphNumbering"/>
        <w:numPr>
          <w:ilvl w:val="0"/>
          <w:numId w:val="0"/>
        </w:numPr>
        <w:tabs>
          <w:tab w:val="clear" w:pos="-1134"/>
        </w:tabs>
        <w:spacing w:before="0"/>
      </w:pPr>
      <w:r w:rsidRPr="00B52CBB">
        <w:t xml:space="preserve">A </w:t>
      </w:r>
      <w:r w:rsidR="000D6D5F">
        <w:t>summary</w:t>
      </w:r>
      <w:r w:rsidRPr="00B52CBB">
        <w:t xml:space="preserve"> of the responses against each of the questions is summarised in the section</w:t>
      </w:r>
      <w:r>
        <w:t>s</w:t>
      </w:r>
      <w:r w:rsidRPr="00B52CBB">
        <w:t xml:space="preserve"> below.</w:t>
      </w:r>
    </w:p>
    <w:p w14:paraId="1F9EFE16" w14:textId="71D6A462" w:rsidR="003157AB" w:rsidRDefault="00791675" w:rsidP="00256775">
      <w:pPr>
        <w:spacing w:before="0" w:after="0"/>
      </w:pPr>
      <w:r>
        <w:br w:type="page"/>
      </w:r>
    </w:p>
    <w:p w14:paraId="351E6D0C" w14:textId="2FC035BA" w:rsidR="003157AB" w:rsidRDefault="003157AB" w:rsidP="00256775">
      <w:pPr>
        <w:pStyle w:val="Heading3"/>
        <w:spacing w:before="120" w:after="240"/>
        <w:ind w:left="851" w:hanging="851"/>
      </w:pPr>
      <w:bookmarkStart w:id="6" w:name="_Toc35273517"/>
      <w:r>
        <w:t>LC13A plan and milestones</w:t>
      </w:r>
      <w:r w:rsidR="00D32CF7">
        <w:t xml:space="preserve"> (Question 1 and Question 2)</w:t>
      </w:r>
      <w:bookmarkEnd w:id="6"/>
    </w:p>
    <w:p w14:paraId="27400015" w14:textId="2459336E" w:rsidR="00633EEE" w:rsidRDefault="00B355D3" w:rsidP="00EF24A0">
      <w:pPr>
        <w:pStyle w:val="ParagraphNumbering"/>
        <w:numPr>
          <w:ilvl w:val="0"/>
          <w:numId w:val="0"/>
        </w:numPr>
        <w:tabs>
          <w:tab w:val="clear" w:pos="-1134"/>
        </w:tabs>
        <w:spacing w:before="0"/>
      </w:pPr>
      <w:r>
        <w:t>DCC asked t</w:t>
      </w:r>
      <w:r w:rsidR="003157AB">
        <w:t>wo questions regarding the LC13A plan and milestones. A</w:t>
      </w:r>
      <w:r>
        <w:t>n</w:t>
      </w:r>
      <w:r w:rsidR="003157AB">
        <w:t xml:space="preserve"> overview of the</w:t>
      </w:r>
      <w:r w:rsidR="000D6D5F">
        <w:t xml:space="preserve"> </w:t>
      </w:r>
      <w:r w:rsidR="00A34B58">
        <w:t>resp</w:t>
      </w:r>
      <w:r w:rsidR="00893198">
        <w:t>ondents’</w:t>
      </w:r>
      <w:r w:rsidR="000D6D5F">
        <w:t xml:space="preserve"> comments </w:t>
      </w:r>
      <w:r w:rsidR="003157AB">
        <w:t>against each of the questions</w:t>
      </w:r>
      <w:r w:rsidR="00D32CF7">
        <w:t>, and DCC’s response</w:t>
      </w:r>
      <w:r w:rsidR="00893198">
        <w:t>,</w:t>
      </w:r>
      <w:r w:rsidR="003157AB">
        <w:t xml:space="preserve"> is summarise</w:t>
      </w:r>
      <w:r>
        <w:t>d</w:t>
      </w:r>
      <w:r w:rsidR="00D32CF7">
        <w:t xml:space="preserve"> in the sections</w:t>
      </w:r>
      <w:r w:rsidR="003157AB">
        <w:t xml:space="preserve"> below.</w:t>
      </w:r>
    </w:p>
    <w:p w14:paraId="5D56330A" w14:textId="188A60B0" w:rsidR="00FC1654" w:rsidRDefault="00FC1654" w:rsidP="00256775">
      <w:pPr>
        <w:pStyle w:val="Heading4"/>
        <w:spacing w:before="120" w:after="240"/>
        <w:ind w:left="0" w:firstLine="720"/>
      </w:pPr>
      <w:r>
        <w:t>Question 1</w:t>
      </w:r>
    </w:p>
    <w:p w14:paraId="0FABEE19" w14:textId="312DB4CD" w:rsidR="00FC1654" w:rsidRPr="00FC1654" w:rsidRDefault="00476604" w:rsidP="00EF24A0">
      <w:pPr>
        <w:pStyle w:val="ParagraphNumbering"/>
        <w:numPr>
          <w:ilvl w:val="0"/>
          <w:numId w:val="0"/>
        </w:numPr>
        <w:tabs>
          <w:tab w:val="clear" w:pos="-1134"/>
        </w:tabs>
        <w:spacing w:before="0"/>
      </w:pPr>
      <w:r>
        <w:t>Question 1 asked for responses on overall comfort with the plan</w:t>
      </w:r>
      <w:r w:rsidR="00AC18EC">
        <w:t xml:space="preserve">, </w:t>
      </w:r>
      <w:r>
        <w:t>dates and milestones, as follows:</w:t>
      </w:r>
    </w:p>
    <w:tbl>
      <w:tblPr>
        <w:tblStyle w:val="TableTemplate1"/>
        <w:tblW w:w="8647" w:type="dxa"/>
        <w:tblInd w:w="108" w:type="dxa"/>
        <w:tblLook w:val="04A0" w:firstRow="1" w:lastRow="0" w:firstColumn="1" w:lastColumn="0" w:noHBand="0" w:noVBand="1"/>
      </w:tblPr>
      <w:tblGrid>
        <w:gridCol w:w="709"/>
        <w:gridCol w:w="7938"/>
      </w:tblGrid>
      <w:tr w:rsidR="003157AB" w:rsidRPr="00FD6751" w14:paraId="77C87108" w14:textId="77777777" w:rsidTr="003157AB">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709" w:type="dxa"/>
          </w:tcPr>
          <w:p w14:paraId="17D516D1" w14:textId="77777777" w:rsidR="003157AB" w:rsidRPr="00FD6751" w:rsidRDefault="003157AB" w:rsidP="00256775">
            <w:pPr>
              <w:spacing w:before="0" w:after="0" w:line="264" w:lineRule="auto"/>
              <w:rPr>
                <w:rFonts w:eastAsia="Times New Roman"/>
                <w:sz w:val="21"/>
                <w:szCs w:val="21"/>
              </w:rPr>
            </w:pPr>
            <w:r w:rsidRPr="00FD6751">
              <w:rPr>
                <w:rFonts w:eastAsia="Times New Roman"/>
                <w:sz w:val="21"/>
                <w:szCs w:val="21"/>
              </w:rPr>
              <w:t>Q1</w:t>
            </w:r>
          </w:p>
        </w:tc>
        <w:tc>
          <w:tcPr>
            <w:tcW w:w="7938" w:type="dxa"/>
            <w:shd w:val="clear" w:color="auto" w:fill="FFFFFF"/>
          </w:tcPr>
          <w:p w14:paraId="64D91A07" w14:textId="77777777" w:rsidR="003157AB" w:rsidRPr="003157AB" w:rsidRDefault="003157AB" w:rsidP="00256775">
            <w:pPr>
              <w:spacing w:before="0" w:after="0" w:line="264" w:lineRule="auto"/>
              <w:cnfStyle w:val="100000000000" w:firstRow="1" w:lastRow="0" w:firstColumn="0" w:lastColumn="0" w:oddVBand="0" w:evenVBand="0" w:oddHBand="0" w:evenHBand="0" w:firstRowFirstColumn="0" w:firstRowLastColumn="0" w:lastRowFirstColumn="0" w:lastRowLastColumn="0"/>
              <w:rPr>
                <w:rFonts w:eastAsia="Times New Roman"/>
                <w:b w:val="0"/>
                <w:color w:val="441854"/>
                <w:sz w:val="21"/>
                <w:szCs w:val="21"/>
              </w:rPr>
            </w:pPr>
            <w:r>
              <w:rPr>
                <w:rFonts w:eastAsia="Times New Roman"/>
                <w:color w:val="441854"/>
                <w:sz w:val="21"/>
                <w:szCs w:val="21"/>
              </w:rPr>
              <w:t xml:space="preserve">Are you content with the LC13A plan for </w:t>
            </w:r>
            <w:proofErr w:type="spellStart"/>
            <w:r>
              <w:rPr>
                <w:rFonts w:eastAsia="Times New Roman"/>
                <w:color w:val="441854"/>
                <w:sz w:val="21"/>
                <w:szCs w:val="21"/>
              </w:rPr>
              <w:t>ECoS</w:t>
            </w:r>
            <w:proofErr w:type="spellEnd"/>
            <w:r>
              <w:rPr>
                <w:rFonts w:eastAsia="Times New Roman"/>
                <w:color w:val="441854"/>
                <w:sz w:val="21"/>
                <w:szCs w:val="21"/>
              </w:rPr>
              <w:t xml:space="preserve"> set out in this document, with the proposed milestones and dates set out in Annex A?</w:t>
            </w:r>
          </w:p>
        </w:tc>
      </w:tr>
    </w:tbl>
    <w:p w14:paraId="7C0FB4E4" w14:textId="583646CE" w:rsidR="005A433A" w:rsidRPr="00A839A7" w:rsidRDefault="007C0597" w:rsidP="000D6D5F">
      <w:pPr>
        <w:pStyle w:val="Heading4"/>
        <w:spacing w:after="240"/>
        <w:ind w:left="0" w:firstLine="720"/>
      </w:pPr>
      <w:r>
        <w:t>Sum</w:t>
      </w:r>
      <w:r w:rsidR="00E22FF1">
        <w:t>mary of submissions on Q</w:t>
      </w:r>
      <w:r w:rsidR="0039018F">
        <w:t xml:space="preserve">uestion </w:t>
      </w:r>
      <w:r w:rsidR="00E22FF1">
        <w:t>1</w:t>
      </w:r>
    </w:p>
    <w:p w14:paraId="5EFE61EC" w14:textId="770CF686" w:rsidR="001C59EA" w:rsidRDefault="001C59EA" w:rsidP="00EF24A0">
      <w:pPr>
        <w:pStyle w:val="ParagraphNumbering"/>
        <w:numPr>
          <w:ilvl w:val="0"/>
          <w:numId w:val="0"/>
        </w:numPr>
        <w:tabs>
          <w:tab w:val="clear" w:pos="-1134"/>
        </w:tabs>
        <w:spacing w:before="0"/>
      </w:pPr>
      <w:r w:rsidRPr="004D0E88">
        <w:t xml:space="preserve">Five organisations responded to question 1 directly. </w:t>
      </w:r>
      <w:r>
        <w:t>The</w:t>
      </w:r>
      <w:r w:rsidRPr="004D0E88">
        <w:t xml:space="preserve"> responde</w:t>
      </w:r>
      <w:r w:rsidR="00AC18EC">
        <w:t>nts</w:t>
      </w:r>
      <w:r w:rsidRPr="004D0E88">
        <w:t xml:space="preserve"> were broadly content with</w:t>
      </w:r>
      <w:r>
        <w:t xml:space="preserve"> the draft delivery plan for</w:t>
      </w:r>
      <w:r w:rsidR="00AC18EC">
        <w:t xml:space="preserve"> </w:t>
      </w:r>
      <w:proofErr w:type="spellStart"/>
      <w:r w:rsidR="00AC18EC">
        <w:t>ECoS</w:t>
      </w:r>
      <w:proofErr w:type="spellEnd"/>
      <w:r>
        <w:t>.</w:t>
      </w:r>
    </w:p>
    <w:p w14:paraId="5FFF7818" w14:textId="4EB40FA0" w:rsidR="001C59EA" w:rsidRPr="004D0E88" w:rsidRDefault="001C59EA" w:rsidP="00EF24A0">
      <w:pPr>
        <w:pStyle w:val="ParagraphNumbering"/>
        <w:numPr>
          <w:ilvl w:val="0"/>
          <w:numId w:val="0"/>
        </w:numPr>
        <w:tabs>
          <w:tab w:val="clear" w:pos="-1134"/>
        </w:tabs>
        <w:spacing w:before="0"/>
      </w:pPr>
      <w:r w:rsidRPr="004D0E88">
        <w:t xml:space="preserve">One respondent commented that the proposed approach to programme governance, underpinned by regulation, is very similar to the approach used by BEIS to oversee and govern all the major transitional activities undertaken as part of the Smart Metering Implementation Programme (SMIP). Because of this, the governance mechanisms proposed as part of this plan represent a tried and tested approach </w:t>
      </w:r>
      <w:r w:rsidR="00AC18EC">
        <w:t>that</w:t>
      </w:r>
      <w:r w:rsidRPr="004D0E88">
        <w:t xml:space="preserve"> DCC, governance bodies</w:t>
      </w:r>
      <w:r w:rsidR="00AC18EC">
        <w:t>,</w:t>
      </w:r>
      <w:r w:rsidRPr="004D0E88">
        <w:t xml:space="preserve"> and SEC Parties are familiar with.</w:t>
      </w:r>
    </w:p>
    <w:p w14:paraId="66AF16FE" w14:textId="47A9425B" w:rsidR="001C59EA" w:rsidRPr="004D0E88" w:rsidRDefault="001C59EA" w:rsidP="00EF24A0">
      <w:pPr>
        <w:pStyle w:val="ParagraphNumbering"/>
        <w:numPr>
          <w:ilvl w:val="0"/>
          <w:numId w:val="0"/>
        </w:numPr>
        <w:tabs>
          <w:tab w:val="clear" w:pos="-1134"/>
        </w:tabs>
        <w:spacing w:before="0"/>
      </w:pPr>
      <w:r w:rsidRPr="004D0E88">
        <w:t>Several respondents commented that some dependencies may require a degree of industry co-ordination and they welcomed DCC’s commitment to continue to consult with stakeholders in respect of specific decisions.</w:t>
      </w:r>
    </w:p>
    <w:p w14:paraId="5D691400" w14:textId="648D8041" w:rsidR="001C59EA" w:rsidRDefault="001C59EA" w:rsidP="00EF24A0">
      <w:pPr>
        <w:pStyle w:val="ParagraphNumbering"/>
        <w:numPr>
          <w:ilvl w:val="0"/>
          <w:numId w:val="0"/>
        </w:numPr>
        <w:tabs>
          <w:tab w:val="clear" w:pos="-1134"/>
        </w:tabs>
        <w:spacing w:before="0"/>
      </w:pPr>
      <w:r w:rsidRPr="004D0E88">
        <w:t>Several questions were put forward regarding whether there would opportunities to carry out future assessment of programme readiness, and whether there would be opportunities to have direct input into the changes required to the SEC.</w:t>
      </w:r>
    </w:p>
    <w:p w14:paraId="23312A0E" w14:textId="3AD1A6B9" w:rsidR="00A839A7" w:rsidRDefault="001C59EA" w:rsidP="000D6D5F">
      <w:pPr>
        <w:pStyle w:val="Heading4"/>
        <w:spacing w:after="240"/>
        <w:ind w:left="0" w:firstLine="720"/>
      </w:pPr>
      <w:r>
        <w:t>DCC</w:t>
      </w:r>
      <w:r w:rsidR="003A576B">
        <w:t xml:space="preserve"> response to </w:t>
      </w:r>
      <w:r w:rsidR="005A433A">
        <w:t>submission</w:t>
      </w:r>
      <w:r w:rsidR="00A200B5">
        <w:t>s</w:t>
      </w:r>
      <w:r w:rsidR="005A433A">
        <w:t xml:space="preserve"> on </w:t>
      </w:r>
      <w:r w:rsidR="004E32D9">
        <w:t>Q</w:t>
      </w:r>
      <w:r w:rsidR="0039018F">
        <w:t>uestio</w:t>
      </w:r>
      <w:r w:rsidR="00791675">
        <w:t>n</w:t>
      </w:r>
      <w:r w:rsidR="0039018F">
        <w:t xml:space="preserve"> </w:t>
      </w:r>
      <w:r w:rsidR="004E32D9">
        <w:t>1</w:t>
      </w:r>
    </w:p>
    <w:p w14:paraId="67AB21DC" w14:textId="39C030A7" w:rsidR="001C59EA" w:rsidRDefault="001C59EA" w:rsidP="00EF24A0">
      <w:pPr>
        <w:pStyle w:val="ParagraphNumbering"/>
        <w:numPr>
          <w:ilvl w:val="0"/>
          <w:numId w:val="0"/>
        </w:numPr>
        <w:tabs>
          <w:tab w:val="clear" w:pos="-1134"/>
        </w:tabs>
        <w:spacing w:before="0"/>
      </w:pPr>
      <w:r>
        <w:t>DCC notes that all respondents are broadly supportive of the content of the plan and the proposed milestones.</w:t>
      </w:r>
    </w:p>
    <w:p w14:paraId="2B3ED9DA" w14:textId="77777777" w:rsidR="001C59EA" w:rsidRDefault="001C59EA" w:rsidP="00EF24A0">
      <w:pPr>
        <w:pStyle w:val="ParagraphNumbering"/>
        <w:numPr>
          <w:ilvl w:val="0"/>
          <w:numId w:val="0"/>
        </w:numPr>
        <w:tabs>
          <w:tab w:val="clear" w:pos="-1134"/>
        </w:tabs>
        <w:spacing w:before="0"/>
      </w:pPr>
      <w:r>
        <w:t>In response to questions put forward about future engagement, DCC would like to reiterate that engagement with all stakeholders will occur throughout the lifecycle of the project. DCC will ensure stakeholders are kept informed and are adequately consulted through various channels and governance groups including engagement with the SEC Panel and its sub-committees, particularly the TAG, the SEC Ops group, the SSC and the SMKI PMA as relevant, and on programme progress with the Implementation Managers Forum, the Smart Metering Delivery Group, and other transitional bodies as relevant.</w:t>
      </w:r>
    </w:p>
    <w:p w14:paraId="25384D60" w14:textId="0D16D0BD" w:rsidR="001C59EA" w:rsidRPr="001C59EA" w:rsidRDefault="001C59EA" w:rsidP="00EF24A0">
      <w:pPr>
        <w:pStyle w:val="ParagraphNumbering"/>
        <w:numPr>
          <w:ilvl w:val="0"/>
          <w:numId w:val="0"/>
        </w:numPr>
        <w:tabs>
          <w:tab w:val="clear" w:pos="-1134"/>
        </w:tabs>
        <w:spacing w:before="0"/>
      </w:pPr>
      <w:r>
        <w:t>All stakeholders will be kept informed on DCC’s progress against the plan through regular reporting, and stakeholder feedback and engagement activities will be considered in the development and rollout of the project. DCC will continue to evolve and develop stakeholder engagement to ensure transparency and that stakeholder</w:t>
      </w:r>
      <w:r w:rsidR="00893198">
        <w:t>s</w:t>
      </w:r>
      <w:r>
        <w:t xml:space="preserve"> are kept informed, have an opportunity to shape proposals, and can also help guide DCC’s direction.</w:t>
      </w:r>
    </w:p>
    <w:p w14:paraId="0CDF8B38" w14:textId="309B0F67" w:rsidR="0095621B" w:rsidRDefault="0095621B" w:rsidP="00256775">
      <w:pPr>
        <w:pStyle w:val="Heading4"/>
        <w:spacing w:before="120" w:after="240"/>
        <w:ind w:left="0" w:firstLine="720"/>
      </w:pPr>
      <w:r>
        <w:t>Question 2</w:t>
      </w:r>
    </w:p>
    <w:p w14:paraId="3FD5B3CD" w14:textId="05EBA87D" w:rsidR="005A6F85" w:rsidRPr="005A6F85" w:rsidRDefault="0055411D" w:rsidP="00EF24A0">
      <w:pPr>
        <w:pStyle w:val="ParagraphNumbering"/>
        <w:numPr>
          <w:ilvl w:val="0"/>
          <w:numId w:val="0"/>
        </w:numPr>
        <w:tabs>
          <w:tab w:val="clear" w:pos="-1134"/>
        </w:tabs>
        <w:spacing w:before="0"/>
      </w:pPr>
      <w:r>
        <w:t>The second question</w:t>
      </w:r>
      <w:r w:rsidR="00FF6642">
        <w:t xml:space="preserve"> was </w:t>
      </w:r>
      <w:r w:rsidR="00A96449">
        <w:t xml:space="preserve">a </w:t>
      </w:r>
      <w:proofErr w:type="spellStart"/>
      <w:r w:rsidR="00A96449">
        <w:t>borad</w:t>
      </w:r>
      <w:proofErr w:type="spellEnd"/>
      <w:r w:rsidR="00A96449">
        <w:t xml:space="preserve"> question asking for</w:t>
      </w:r>
      <w:r w:rsidR="00A07548">
        <w:t xml:space="preserve"> submissions on any </w:t>
      </w:r>
      <w:r w:rsidR="00A96449">
        <w:t>concerns</w:t>
      </w:r>
      <w:r w:rsidR="00A07548">
        <w:t xml:space="preserve">, or suggestions </w:t>
      </w:r>
      <w:r w:rsidR="00132087">
        <w:t>fo</w:t>
      </w:r>
      <w:r w:rsidR="00A96449">
        <w:t>r improvement</w:t>
      </w:r>
      <w:r w:rsidR="00487F72">
        <w:t>, as follows:</w:t>
      </w:r>
    </w:p>
    <w:tbl>
      <w:tblPr>
        <w:tblStyle w:val="TableTemplate1"/>
        <w:tblW w:w="8647" w:type="dxa"/>
        <w:tblInd w:w="108" w:type="dxa"/>
        <w:tblLook w:val="04A0" w:firstRow="1" w:lastRow="0" w:firstColumn="1" w:lastColumn="0" w:noHBand="0" w:noVBand="1"/>
      </w:tblPr>
      <w:tblGrid>
        <w:gridCol w:w="709"/>
        <w:gridCol w:w="7938"/>
      </w:tblGrid>
      <w:tr w:rsidR="001C59EA" w:rsidRPr="00FD6751" w14:paraId="6D0141AF" w14:textId="77777777" w:rsidTr="001440C7">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709" w:type="dxa"/>
          </w:tcPr>
          <w:p w14:paraId="36C6FB6B" w14:textId="77777777" w:rsidR="001C59EA" w:rsidRPr="00FD6751" w:rsidRDefault="001C59EA" w:rsidP="00256775">
            <w:pPr>
              <w:spacing w:before="0" w:after="0" w:line="264" w:lineRule="auto"/>
              <w:rPr>
                <w:rFonts w:eastAsia="Times New Roman"/>
                <w:sz w:val="21"/>
                <w:szCs w:val="21"/>
              </w:rPr>
            </w:pPr>
            <w:r w:rsidRPr="00FD6751">
              <w:rPr>
                <w:rFonts w:eastAsia="Times New Roman"/>
                <w:sz w:val="21"/>
                <w:szCs w:val="21"/>
              </w:rPr>
              <w:t>Q</w:t>
            </w:r>
            <w:r>
              <w:rPr>
                <w:rFonts w:eastAsia="Times New Roman"/>
                <w:sz w:val="21"/>
                <w:szCs w:val="21"/>
              </w:rPr>
              <w:t>2</w:t>
            </w:r>
          </w:p>
        </w:tc>
        <w:tc>
          <w:tcPr>
            <w:tcW w:w="7938" w:type="dxa"/>
            <w:shd w:val="clear" w:color="auto" w:fill="FFFFFF"/>
          </w:tcPr>
          <w:p w14:paraId="0AA81383" w14:textId="0AE79B81" w:rsidR="001C59EA" w:rsidRPr="003157AB" w:rsidRDefault="00732993" w:rsidP="00256775">
            <w:pPr>
              <w:spacing w:before="0" w:after="0" w:line="264" w:lineRule="auto"/>
              <w:cnfStyle w:val="100000000000" w:firstRow="1" w:lastRow="0" w:firstColumn="0" w:lastColumn="0" w:oddVBand="0" w:evenVBand="0" w:oddHBand="0" w:evenHBand="0" w:firstRowFirstColumn="0" w:firstRowLastColumn="0" w:lastRowFirstColumn="0" w:lastRowLastColumn="0"/>
              <w:rPr>
                <w:rFonts w:eastAsia="Times New Roman"/>
                <w:b w:val="0"/>
                <w:color w:val="441854"/>
                <w:sz w:val="21"/>
                <w:szCs w:val="21"/>
              </w:rPr>
            </w:pPr>
            <w:r>
              <w:rPr>
                <w:rFonts w:eastAsia="Times New Roman"/>
                <w:color w:val="441854"/>
                <w:sz w:val="21"/>
                <w:szCs w:val="21"/>
              </w:rPr>
              <w:t>Are there any specific areas of the plan where you have concerns</w:t>
            </w:r>
            <w:r w:rsidR="00DF521F">
              <w:rPr>
                <w:rFonts w:eastAsia="Times New Roman"/>
                <w:color w:val="441854"/>
                <w:sz w:val="21"/>
                <w:szCs w:val="21"/>
              </w:rPr>
              <w:t>, or have suggestions for improvement?</w:t>
            </w:r>
          </w:p>
        </w:tc>
      </w:tr>
    </w:tbl>
    <w:p w14:paraId="6441C025" w14:textId="5A550F09" w:rsidR="001C59EA" w:rsidRDefault="001C59EA" w:rsidP="00256775">
      <w:pPr>
        <w:spacing w:before="0" w:after="0"/>
      </w:pPr>
    </w:p>
    <w:p w14:paraId="55850EFF" w14:textId="5FE288AF" w:rsidR="00D32CF7" w:rsidRDefault="00D32CF7" w:rsidP="00256775">
      <w:pPr>
        <w:pStyle w:val="Heading4"/>
        <w:spacing w:before="120" w:after="240"/>
        <w:ind w:left="0" w:firstLine="720"/>
      </w:pPr>
      <w:r>
        <w:t>Summary of submissions on Q</w:t>
      </w:r>
      <w:r w:rsidR="00791675">
        <w:t xml:space="preserve">uestion </w:t>
      </w:r>
      <w:r>
        <w:t>2</w:t>
      </w:r>
    </w:p>
    <w:p w14:paraId="33820F03" w14:textId="2F316DB8" w:rsidR="00A839A7" w:rsidRDefault="00C73450" w:rsidP="00EF24A0">
      <w:pPr>
        <w:pStyle w:val="ParagraphNumbering"/>
        <w:numPr>
          <w:ilvl w:val="0"/>
          <w:numId w:val="0"/>
        </w:numPr>
        <w:tabs>
          <w:tab w:val="clear" w:pos="-1134"/>
        </w:tabs>
        <w:spacing w:before="0"/>
      </w:pPr>
      <w:r>
        <w:t>All respondents provided comments under this question. There were several comments relating to</w:t>
      </w:r>
      <w:r w:rsidR="00431A72">
        <w:t xml:space="preserve"> </w:t>
      </w:r>
      <w:r w:rsidR="00FF6642">
        <w:t>different</w:t>
      </w:r>
      <w:r w:rsidR="005366E0">
        <w:t xml:space="preserve"> aspects of the delivery plan</w:t>
      </w:r>
      <w:r w:rsidR="00F964B2">
        <w:t>.</w:t>
      </w:r>
      <w:r w:rsidR="005366E0">
        <w:t xml:space="preserve"> As such, w</w:t>
      </w:r>
      <w:r w:rsidR="00431A72">
        <w:t>e have</w:t>
      </w:r>
      <w:r w:rsidR="008050DC">
        <w:t xml:space="preserve"> drawn out the key points</w:t>
      </w:r>
      <w:r w:rsidR="00592CE4">
        <w:t xml:space="preserve"> from </w:t>
      </w:r>
      <w:r w:rsidR="008050DC">
        <w:t xml:space="preserve">individual submissions and provided DCC’s response </w:t>
      </w:r>
      <w:r w:rsidR="00431A72">
        <w:t>in the table below.</w:t>
      </w:r>
    </w:p>
    <w:p w14:paraId="3D863702" w14:textId="226B1320" w:rsidR="00051419" w:rsidRPr="00256775" w:rsidRDefault="00051419" w:rsidP="00256775">
      <w:pPr>
        <w:pStyle w:val="Heading4"/>
        <w:spacing w:before="120" w:after="240"/>
        <w:ind w:left="0" w:firstLine="720"/>
      </w:pPr>
      <w:r w:rsidRPr="00256775">
        <w:t>T</w:t>
      </w:r>
      <w:r w:rsidR="004D383B" w:rsidRPr="00256775">
        <w:t xml:space="preserve">able </w:t>
      </w:r>
      <w:r w:rsidR="000D6D5F">
        <w:t>outlining</w:t>
      </w:r>
      <w:r w:rsidR="004D383B" w:rsidRPr="00256775">
        <w:t xml:space="preserve"> </w:t>
      </w:r>
      <w:r w:rsidR="00594776" w:rsidRPr="00256775">
        <w:t>submission</w:t>
      </w:r>
      <w:r w:rsidR="001440C7" w:rsidRPr="00256775">
        <w:t>s</w:t>
      </w:r>
      <w:r w:rsidR="00594776" w:rsidRPr="00256775">
        <w:t xml:space="preserve"> on Q</w:t>
      </w:r>
      <w:r w:rsidR="00791675" w:rsidRPr="00256775">
        <w:t xml:space="preserve">uestion </w:t>
      </w:r>
      <w:r w:rsidR="00594776" w:rsidRPr="00256775">
        <w:t>2 and DCC</w:t>
      </w:r>
      <w:r w:rsidR="00791675" w:rsidRPr="00256775">
        <w:t>’s</w:t>
      </w:r>
      <w:r w:rsidR="00594776" w:rsidRPr="00256775">
        <w:t xml:space="preserve"> response</w:t>
      </w:r>
    </w:p>
    <w:tbl>
      <w:tblPr>
        <w:tblStyle w:val="TableTemplate1"/>
        <w:tblW w:w="0" w:type="auto"/>
        <w:tblLook w:val="04A0" w:firstRow="1" w:lastRow="0" w:firstColumn="1" w:lastColumn="0" w:noHBand="0" w:noVBand="1"/>
      </w:tblPr>
      <w:tblGrid>
        <w:gridCol w:w="1833"/>
        <w:gridCol w:w="4536"/>
        <w:gridCol w:w="3119"/>
      </w:tblGrid>
      <w:tr w:rsidR="00431A72" w14:paraId="0E581542" w14:textId="77777777" w:rsidTr="00FF6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2731BF92" w14:textId="2FB65C39" w:rsidR="00431A72" w:rsidRDefault="00431A72" w:rsidP="00256775">
            <w:pPr>
              <w:pStyle w:val="TableHeadings"/>
              <w:spacing w:before="0"/>
            </w:pPr>
            <w:r>
              <w:t xml:space="preserve">Area of the </w:t>
            </w:r>
            <w:proofErr w:type="spellStart"/>
            <w:r>
              <w:t>ECoS</w:t>
            </w:r>
            <w:proofErr w:type="spellEnd"/>
            <w:r>
              <w:t xml:space="preserve"> delivery plan</w:t>
            </w:r>
          </w:p>
        </w:tc>
        <w:tc>
          <w:tcPr>
            <w:tcW w:w="4536" w:type="dxa"/>
          </w:tcPr>
          <w:p w14:paraId="3A8F1317" w14:textId="4C835260" w:rsidR="00431A72" w:rsidRDefault="00431A72" w:rsidP="00256775">
            <w:pPr>
              <w:pStyle w:val="TableHeadings"/>
              <w:spacing w:before="0"/>
              <w:cnfStyle w:val="100000000000" w:firstRow="1" w:lastRow="0" w:firstColumn="0" w:lastColumn="0" w:oddVBand="0" w:evenVBand="0" w:oddHBand="0" w:evenHBand="0" w:firstRowFirstColumn="0" w:firstRowLastColumn="0" w:lastRowFirstColumn="0" w:lastRowLastColumn="0"/>
            </w:pPr>
            <w:r>
              <w:t>C</w:t>
            </w:r>
            <w:r w:rsidR="009D2CCE">
              <w:t>onsultation s</w:t>
            </w:r>
            <w:r w:rsidR="00501298">
              <w:t>ubmissions on</w:t>
            </w:r>
            <w:r w:rsidR="009D2CCE">
              <w:t xml:space="preserve"> </w:t>
            </w:r>
            <w:proofErr w:type="spellStart"/>
            <w:r w:rsidR="009D2CCE">
              <w:t>ECoS</w:t>
            </w:r>
            <w:proofErr w:type="spellEnd"/>
            <w:r>
              <w:t xml:space="preserve"> </w:t>
            </w:r>
            <w:r w:rsidR="009D2CCE">
              <w:t>delivery plan</w:t>
            </w:r>
          </w:p>
        </w:tc>
        <w:tc>
          <w:tcPr>
            <w:tcW w:w="3119" w:type="dxa"/>
          </w:tcPr>
          <w:p w14:paraId="1DDC2509" w14:textId="6F1BD7E6" w:rsidR="00431A72" w:rsidRDefault="00431A72" w:rsidP="00256775">
            <w:pPr>
              <w:pStyle w:val="TableHeadings"/>
              <w:spacing w:before="0"/>
              <w:cnfStyle w:val="100000000000" w:firstRow="1" w:lastRow="0" w:firstColumn="0" w:lastColumn="0" w:oddVBand="0" w:evenVBand="0" w:oddHBand="0" w:evenHBand="0" w:firstRowFirstColumn="0" w:firstRowLastColumn="0" w:lastRowFirstColumn="0" w:lastRowLastColumn="0"/>
            </w:pPr>
            <w:r>
              <w:t>DCC</w:t>
            </w:r>
            <w:r w:rsidR="008050DC">
              <w:t>’s</w:t>
            </w:r>
            <w:r>
              <w:t xml:space="preserve"> response</w:t>
            </w:r>
          </w:p>
        </w:tc>
      </w:tr>
      <w:tr w:rsidR="00431A72" w14:paraId="42690E63"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643437C7" w14:textId="56A24198" w:rsidR="00431A72" w:rsidRPr="004F7708" w:rsidRDefault="00431A72" w:rsidP="00256775">
            <w:pPr>
              <w:pStyle w:val="TableText-Left"/>
              <w:spacing w:before="0"/>
            </w:pPr>
            <w:proofErr w:type="gramStart"/>
            <w:r>
              <w:t xml:space="preserve">Pre </w:t>
            </w:r>
            <w:proofErr w:type="spellStart"/>
            <w:r>
              <w:t>Intergration</w:t>
            </w:r>
            <w:proofErr w:type="spellEnd"/>
            <w:r>
              <w:t xml:space="preserve"> Testing</w:t>
            </w:r>
            <w:proofErr w:type="gramEnd"/>
            <w:r>
              <w:t xml:space="preserve"> (PIT)</w:t>
            </w:r>
          </w:p>
        </w:tc>
        <w:tc>
          <w:tcPr>
            <w:tcW w:w="4536" w:type="dxa"/>
          </w:tcPr>
          <w:p w14:paraId="424CACFA" w14:textId="2918DE0E" w:rsidR="00431A72" w:rsidRDefault="00431A72" w:rsidP="00256775">
            <w:pPr>
              <w:spacing w:before="0"/>
              <w:cnfStyle w:val="000000000000" w:firstRow="0" w:lastRow="0" w:firstColumn="0" w:lastColumn="0" w:oddVBand="0" w:evenVBand="0" w:oddHBand="0" w:evenHBand="0" w:firstRowFirstColumn="0" w:firstRowLastColumn="0" w:lastRowFirstColumn="0" w:lastRowLastColumn="0"/>
            </w:pPr>
            <w:r w:rsidRPr="00894E08">
              <w:t>One</w:t>
            </w:r>
            <w:r>
              <w:t xml:space="preserve"> responde</w:t>
            </w:r>
            <w:r w:rsidR="003E5797">
              <w:t>nt</w:t>
            </w:r>
            <w:r>
              <w:t xml:space="preserve"> was pleased to see the availability of </w:t>
            </w:r>
            <w:r w:rsidRPr="00D00A3C">
              <w:t>manufacturers’</w:t>
            </w:r>
            <w:r>
              <w:t xml:space="preserve"> </w:t>
            </w:r>
            <w:r w:rsidRPr="00D00A3C">
              <w:t>test metering devices being listed as a dependency (DEP4), and particularly that the mitigation proposed for the SIT and UIT phases makes no mention of emulators.</w:t>
            </w:r>
            <w:r>
              <w:t xml:space="preserve"> While they acknowledged that PIT may be different in that is not an end-to-end phase of the project plan, they were concerned that the proposed use of emulators in that phase might</w:t>
            </w:r>
            <w:proofErr w:type="gramStart"/>
            <w:r>
              <w:t>, in itself, serv</w:t>
            </w:r>
            <w:r w:rsidR="00AC18EC">
              <w:t>e</w:t>
            </w:r>
            <w:proofErr w:type="gramEnd"/>
            <w:r>
              <w:t xml:space="preserve"> to indicate a willingness to subsequently consider them as a viable alternative.</w:t>
            </w:r>
          </w:p>
        </w:tc>
        <w:tc>
          <w:tcPr>
            <w:tcW w:w="3119" w:type="dxa"/>
          </w:tcPr>
          <w:p w14:paraId="1294CAF0" w14:textId="27A33FA6" w:rsidR="00431A72" w:rsidRDefault="00431A72"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As stated within the consultation document, PIT is not </w:t>
            </w:r>
            <w:proofErr w:type="spellStart"/>
            <w:r>
              <w:t>and</w:t>
            </w:r>
            <w:proofErr w:type="spellEnd"/>
            <w:r>
              <w:t xml:space="preserve"> </w:t>
            </w:r>
            <w:r w:rsidR="004E1598">
              <w:t>e</w:t>
            </w:r>
            <w:r>
              <w:t xml:space="preserve">nd to </w:t>
            </w:r>
            <w:r w:rsidR="004E1598">
              <w:t>e</w:t>
            </w:r>
            <w:r>
              <w:t xml:space="preserve">nd </w:t>
            </w:r>
            <w:r w:rsidR="00B61F2F">
              <w:t>t</w:t>
            </w:r>
            <w:r>
              <w:t xml:space="preserve">est </w:t>
            </w:r>
            <w:r w:rsidR="00501298">
              <w:t xml:space="preserve">phase. It would therefore be difficult for the Service Providers to use devices. Devices will be used for all </w:t>
            </w:r>
            <w:r w:rsidR="008A7F1A">
              <w:t>e</w:t>
            </w:r>
            <w:r w:rsidR="00501298">
              <w:t xml:space="preserve">nd to </w:t>
            </w:r>
            <w:r w:rsidR="008A7F1A">
              <w:t>e</w:t>
            </w:r>
            <w:r w:rsidR="00501298">
              <w:t xml:space="preserve">nd test </w:t>
            </w:r>
            <w:r w:rsidR="00C41E8E">
              <w:t>p</w:t>
            </w:r>
            <w:r w:rsidR="00501298">
              <w:t>hases, SIT and UIT</w:t>
            </w:r>
            <w:r w:rsidR="00AC18EC">
              <w:t>. C</w:t>
            </w:r>
            <w:r w:rsidR="00501298">
              <w:t>onsidering emulators are a viable alternative</w:t>
            </w:r>
            <w:r w:rsidR="00AC18EC">
              <w:t>, they</w:t>
            </w:r>
            <w:r w:rsidR="00501298">
              <w:t xml:space="preserve"> will not be considered as an option for exiting these phases.</w:t>
            </w:r>
          </w:p>
        </w:tc>
      </w:tr>
      <w:tr w:rsidR="00431A72" w14:paraId="42B7BCB8"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5359C9ED" w14:textId="41B597CB" w:rsidR="00431A72" w:rsidRPr="004F7708" w:rsidRDefault="003E5797" w:rsidP="00256775">
            <w:pPr>
              <w:pStyle w:val="TableText-Left"/>
              <w:spacing w:before="0"/>
            </w:pPr>
            <w:r>
              <w:t>Plan summary</w:t>
            </w:r>
          </w:p>
        </w:tc>
        <w:tc>
          <w:tcPr>
            <w:tcW w:w="4536" w:type="dxa"/>
          </w:tcPr>
          <w:p w14:paraId="36A45A65" w14:textId="21517199" w:rsidR="00431A72" w:rsidRDefault="003E5797"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One respondent questioned whether DCC would be looking for User Support during the selection and procurement process.</w:t>
            </w:r>
          </w:p>
        </w:tc>
        <w:tc>
          <w:tcPr>
            <w:tcW w:w="3119" w:type="dxa"/>
          </w:tcPr>
          <w:p w14:paraId="5A2CB19A" w14:textId="28D5ECB1" w:rsidR="00431A72" w:rsidRDefault="00B355D3"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DCC w</w:t>
            </w:r>
            <w:r w:rsidR="004C1DBC">
              <w:t>ill</w:t>
            </w:r>
            <w:r w:rsidR="002507AA">
              <w:t xml:space="preserve"> get in touch directly </w:t>
            </w:r>
            <w:r w:rsidR="00804DC3">
              <w:t xml:space="preserve">if </w:t>
            </w:r>
            <w:r>
              <w:t>User Support</w:t>
            </w:r>
            <w:r w:rsidR="002507AA">
              <w:t xml:space="preserve"> </w:t>
            </w:r>
            <w:r w:rsidR="004C1DBC">
              <w:t>is</w:t>
            </w:r>
            <w:r w:rsidR="002507AA">
              <w:t xml:space="preserve"> required</w:t>
            </w:r>
            <w:r>
              <w:t xml:space="preserve"> during the selection and procurement process.</w:t>
            </w:r>
          </w:p>
        </w:tc>
      </w:tr>
      <w:tr w:rsidR="00EF473E" w14:paraId="1AE9C4E2"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2AB285BE" w14:textId="4A617C0A" w:rsidR="00EF473E" w:rsidRDefault="00EF473E" w:rsidP="00256775">
            <w:pPr>
              <w:pStyle w:val="TableText-Left"/>
              <w:spacing w:before="0"/>
            </w:pPr>
            <w:r>
              <w:t>Key interactions with other DCC deliverables</w:t>
            </w:r>
          </w:p>
        </w:tc>
        <w:tc>
          <w:tcPr>
            <w:tcW w:w="4536" w:type="dxa"/>
          </w:tcPr>
          <w:p w14:paraId="0DB7F80A" w14:textId="133058F4" w:rsidR="006D224C" w:rsidRDefault="006D224C"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One respondent noted that as part of the transition from </w:t>
            </w:r>
            <w:proofErr w:type="spellStart"/>
            <w:r>
              <w:t>TCoS</w:t>
            </w:r>
            <w:proofErr w:type="spellEnd"/>
            <w:r>
              <w:t xml:space="preserve"> to </w:t>
            </w:r>
            <w:proofErr w:type="spellStart"/>
            <w:r>
              <w:t>ECoS</w:t>
            </w:r>
            <w:proofErr w:type="spellEnd"/>
            <w:r>
              <w:t xml:space="preserve">, DCC would be required to </w:t>
            </w:r>
            <w:r w:rsidRPr="00F07488">
              <w:t>carry out the function of full end to end testing and migration of devices, however</w:t>
            </w:r>
            <w:r>
              <w:t xml:space="preserve"> they considered</w:t>
            </w:r>
            <w:r w:rsidRPr="00F07488">
              <w:t xml:space="preserve"> further impacts and consideration need to be given to:</w:t>
            </w:r>
          </w:p>
          <w:p w14:paraId="65B34929" w14:textId="77777777" w:rsidR="006D224C" w:rsidRPr="003E7067" w:rsidRDefault="006D224C"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t>Management of the migration dev</w:t>
            </w:r>
            <w:r>
              <w:rPr>
                <w:rFonts w:cs="Arial"/>
                <w:sz w:val="20"/>
                <w:szCs w:val="20"/>
              </w:rPr>
              <w:t xml:space="preserve">ices from using </w:t>
            </w:r>
            <w:proofErr w:type="spellStart"/>
            <w:r>
              <w:rPr>
                <w:rFonts w:cs="Arial"/>
                <w:sz w:val="20"/>
                <w:szCs w:val="20"/>
              </w:rPr>
              <w:t>TCoS</w:t>
            </w:r>
            <w:proofErr w:type="spellEnd"/>
            <w:r>
              <w:rPr>
                <w:rFonts w:cs="Arial"/>
                <w:sz w:val="20"/>
                <w:szCs w:val="20"/>
              </w:rPr>
              <w:t xml:space="preserve"> certificates to </w:t>
            </w:r>
            <w:proofErr w:type="spellStart"/>
            <w:r>
              <w:rPr>
                <w:rFonts w:cs="Arial"/>
                <w:sz w:val="20"/>
                <w:szCs w:val="20"/>
              </w:rPr>
              <w:t>ECoS</w:t>
            </w:r>
            <w:proofErr w:type="spellEnd"/>
            <w:r>
              <w:rPr>
                <w:rFonts w:cs="Arial"/>
                <w:sz w:val="20"/>
                <w:szCs w:val="20"/>
              </w:rPr>
              <w:t xml:space="preserve"> </w:t>
            </w:r>
            <w:r w:rsidRPr="006D224C">
              <w:t>certificates.</w:t>
            </w:r>
          </w:p>
          <w:p w14:paraId="2A0A8635" w14:textId="77777777" w:rsidR="006D224C" w:rsidRPr="00920668" w:rsidRDefault="006D224C"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6D224C">
              <w:t>Changes to Smart Metering Key Infrastructure (SMKI) and DCC Key Infrastructure (DCCKI)</w:t>
            </w:r>
          </w:p>
          <w:p w14:paraId="1DC1897D" w14:textId="7482EFCF" w:rsidR="006D224C" w:rsidRDefault="006D224C"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6D224C">
              <w:t xml:space="preserve">Identification of Assets with </w:t>
            </w:r>
            <w:proofErr w:type="spellStart"/>
            <w:r w:rsidRPr="006D224C">
              <w:t>TCoS</w:t>
            </w:r>
            <w:proofErr w:type="spellEnd"/>
            <w:r w:rsidRPr="006D224C">
              <w:t xml:space="preserve"> certificates and </w:t>
            </w:r>
            <w:proofErr w:type="spellStart"/>
            <w:r w:rsidRPr="006D224C">
              <w:t>ECoS</w:t>
            </w:r>
            <w:proofErr w:type="spellEnd"/>
            <w:r w:rsidRPr="006D224C">
              <w:t xml:space="preserve"> certificates within DCC User systems.</w:t>
            </w:r>
          </w:p>
        </w:tc>
        <w:tc>
          <w:tcPr>
            <w:tcW w:w="3119" w:type="dxa"/>
          </w:tcPr>
          <w:p w14:paraId="24C4547B" w14:textId="1DEA1D2A" w:rsidR="00EF473E" w:rsidRDefault="008A7F1A"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DCC notes these comments</w:t>
            </w:r>
            <w:r w:rsidR="006D224C">
              <w:t xml:space="preserve">. This detail has always been captured in the lower level project plan to support </w:t>
            </w:r>
            <w:proofErr w:type="spellStart"/>
            <w:r w:rsidR="006D224C">
              <w:t>ECoS</w:t>
            </w:r>
            <w:proofErr w:type="spellEnd"/>
            <w:r w:rsidR="006D224C">
              <w:t xml:space="preserve"> delivery and migration. Also fundamental to this, is that </w:t>
            </w:r>
            <w:r w:rsidR="00835F06">
              <w:t>s</w:t>
            </w:r>
            <w:r w:rsidR="006D224C">
              <w:t xml:space="preserve">ervice </w:t>
            </w:r>
            <w:r w:rsidR="00835F06">
              <w:t>s</w:t>
            </w:r>
            <w:r w:rsidR="006D224C">
              <w:t xml:space="preserve">uppliers will be engaged continually around requirements for supporting and implementing </w:t>
            </w:r>
            <w:proofErr w:type="spellStart"/>
            <w:r w:rsidR="006D224C">
              <w:t>TCoS</w:t>
            </w:r>
            <w:proofErr w:type="spellEnd"/>
            <w:r w:rsidR="006D224C">
              <w:t xml:space="preserve"> to </w:t>
            </w:r>
            <w:proofErr w:type="spellStart"/>
            <w:r w:rsidR="006D224C">
              <w:t>ECoS</w:t>
            </w:r>
            <w:proofErr w:type="spellEnd"/>
            <w:r w:rsidR="006D224C">
              <w:t xml:space="preserve"> migration.</w:t>
            </w:r>
          </w:p>
        </w:tc>
      </w:tr>
      <w:tr w:rsidR="006D224C" w14:paraId="5585B452"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34380121" w14:textId="0E2DABEA" w:rsidR="006D224C" w:rsidRDefault="006D224C" w:rsidP="00256775">
            <w:pPr>
              <w:pStyle w:val="TableText-Left"/>
              <w:spacing w:before="0"/>
            </w:pPr>
            <w:proofErr w:type="gramStart"/>
            <w:r>
              <w:t>Pre Integration</w:t>
            </w:r>
            <w:proofErr w:type="gramEnd"/>
            <w:r>
              <w:t xml:space="preserve"> Testing (PIT) and System Integration Testing Phases</w:t>
            </w:r>
          </w:p>
        </w:tc>
        <w:tc>
          <w:tcPr>
            <w:tcW w:w="4536" w:type="dxa"/>
          </w:tcPr>
          <w:p w14:paraId="63901A70" w14:textId="1C896DD2" w:rsidR="006D224C" w:rsidRDefault="009F2269"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One respondent</w:t>
            </w:r>
            <w:r w:rsidR="006D224C">
              <w:t xml:space="preserve"> noted that</w:t>
            </w:r>
            <w:r w:rsidR="00AB47FE">
              <w:t xml:space="preserve"> the</w:t>
            </w:r>
            <w:r w:rsidR="006D224C" w:rsidRPr="000C7F82">
              <w:t xml:space="preserve"> LC13A plan indicates that the PIT and SIT phases are scheduled to be completed between October 2021 and February 2022.</w:t>
            </w:r>
            <w:r>
              <w:t xml:space="preserve"> They consider </w:t>
            </w:r>
            <w:r w:rsidR="006D224C">
              <w:t>that b</w:t>
            </w:r>
            <w:r w:rsidR="006D224C" w:rsidRPr="000C7F82">
              <w:t xml:space="preserve">ased on previous DCC-led programmes, this five-month window is unlikely be </w:t>
            </w:r>
            <w:proofErr w:type="gramStart"/>
            <w:r w:rsidR="006D224C" w:rsidRPr="000C7F82">
              <w:t>sufficient</w:t>
            </w:r>
            <w:proofErr w:type="gramEnd"/>
            <w:r w:rsidR="006D224C" w:rsidRPr="000C7F82">
              <w:t xml:space="preserve"> especially given the Christmas / New Year holiday period.</w:t>
            </w:r>
            <w:r w:rsidR="006D224C">
              <w:t xml:space="preserve"> </w:t>
            </w:r>
            <w:r w:rsidR="00AB47FE">
              <w:t>They consider that r</w:t>
            </w:r>
            <w:r w:rsidR="006D224C" w:rsidRPr="000C7F82">
              <w:t>ushing these phases is likely to mean that issues and problems are not identified or remediated, resulting in subsequent delays and delivery of solutions in a sub-optimal and costly way.</w:t>
            </w:r>
            <w:r>
              <w:t xml:space="preserve"> They consider that </w:t>
            </w:r>
            <w:r w:rsidR="006D224C" w:rsidRPr="000C7F82">
              <w:t>six-months should be allocated to the PIT and SIT phases</w:t>
            </w:r>
            <w:r>
              <w:t>.</w:t>
            </w:r>
          </w:p>
        </w:tc>
        <w:tc>
          <w:tcPr>
            <w:tcW w:w="3119" w:type="dxa"/>
          </w:tcPr>
          <w:p w14:paraId="2A533785" w14:textId="4A46E3B4" w:rsidR="006D224C" w:rsidRDefault="009F2269" w:rsidP="00256775">
            <w:pPr>
              <w:pStyle w:val="TableText-Left"/>
              <w:spacing w:before="0"/>
              <w:cnfStyle w:val="000000000000" w:firstRow="0" w:lastRow="0" w:firstColumn="0" w:lastColumn="0" w:oddVBand="0" w:evenVBand="0" w:oddHBand="0" w:evenHBand="0" w:firstRowFirstColumn="0" w:firstRowLastColumn="0" w:lastRowFirstColumn="0" w:lastRowLastColumn="0"/>
            </w:pPr>
            <w:proofErr w:type="gramStart"/>
            <w:r>
              <w:t>All of</w:t>
            </w:r>
            <w:proofErr w:type="gramEnd"/>
            <w:r>
              <w:t xml:space="preserve"> the current timelines in the delivery plan are indicative. Once a supplier is procured to deliver the </w:t>
            </w:r>
            <w:proofErr w:type="spellStart"/>
            <w:r>
              <w:t>ECoS</w:t>
            </w:r>
            <w:proofErr w:type="spellEnd"/>
            <w:r>
              <w:t xml:space="preserve"> functionality, the points raised will be captured and discussed fully, and finalised as part of the project deliverables.</w:t>
            </w:r>
          </w:p>
        </w:tc>
      </w:tr>
      <w:tr w:rsidR="006D224C" w14:paraId="1302C8EA"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5CA7274B" w14:textId="5290190E" w:rsidR="006D224C" w:rsidRDefault="00E7560E" w:rsidP="00256775">
            <w:pPr>
              <w:pStyle w:val="TableText-Left"/>
              <w:spacing w:before="0"/>
            </w:pPr>
            <w:r>
              <w:t>SIT Utilising Physical Devices</w:t>
            </w:r>
          </w:p>
        </w:tc>
        <w:tc>
          <w:tcPr>
            <w:tcW w:w="4536" w:type="dxa"/>
          </w:tcPr>
          <w:p w14:paraId="06EA54DB" w14:textId="37C247D1" w:rsidR="00E7560E" w:rsidRDefault="00E7560E"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A respondent referred to Section 5.5.2 that explains that DCC will use emulators,</w:t>
            </w:r>
            <w:r w:rsidRPr="00B977BA">
              <w:t xml:space="preserve"> stubs and/or drivers to ensure that </w:t>
            </w:r>
            <w:r>
              <w:t>S</w:t>
            </w:r>
            <w:r w:rsidRPr="00B977BA">
              <w:t>IT can commence at the appropriate time</w:t>
            </w:r>
            <w:r>
              <w:t xml:space="preserve">. They consider that </w:t>
            </w:r>
            <w:r w:rsidRPr="00B977BA">
              <w:t>DCC should avoid relying on solutions solely to meet programme deadlines.</w:t>
            </w:r>
            <w:r w:rsidR="00164E96">
              <w:t xml:space="preserve"> They noted that stakeholders have previously raised concerns at DCC’s reliance on emulators for testing, preferring to see much greater reliance on testing with physical meter assets.</w:t>
            </w:r>
          </w:p>
          <w:p w14:paraId="66C609EE" w14:textId="77777777" w:rsidR="00E7560E" w:rsidRPr="00B977BA" w:rsidRDefault="00E7560E" w:rsidP="00256775">
            <w:pPr>
              <w:spacing w:before="0"/>
              <w:cnfStyle w:val="000000000000" w:firstRow="0" w:lastRow="0" w:firstColumn="0" w:lastColumn="0" w:oddVBand="0" w:evenVBand="0" w:oddHBand="0" w:evenHBand="0" w:firstRowFirstColumn="0" w:firstRowLastColumn="0" w:lastRowFirstColumn="0" w:lastRowLastColumn="0"/>
            </w:pPr>
          </w:p>
          <w:p w14:paraId="139B4190" w14:textId="55FB454B" w:rsidR="00E7560E" w:rsidRDefault="00E7560E" w:rsidP="00256775">
            <w:pPr>
              <w:spacing w:before="0"/>
              <w:cnfStyle w:val="000000000000" w:firstRow="0" w:lastRow="0" w:firstColumn="0" w:lastColumn="0" w:oddVBand="0" w:evenVBand="0" w:oddHBand="0" w:evenHBand="0" w:firstRowFirstColumn="0" w:firstRowLastColumn="0" w:lastRowFirstColumn="0" w:lastRowLastColumn="0"/>
            </w:pPr>
          </w:p>
        </w:tc>
        <w:tc>
          <w:tcPr>
            <w:tcW w:w="3119" w:type="dxa"/>
          </w:tcPr>
          <w:p w14:paraId="462EF892" w14:textId="21AD697B" w:rsidR="006D224C" w:rsidRDefault="00E7560E"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As section 5.5.2 states, this is a contingency. DCC will be working to ensure</w:t>
            </w:r>
            <w:r w:rsidR="00164E96">
              <w:t xml:space="preserve"> SIT will commence and progress with devi</w:t>
            </w:r>
            <w:r w:rsidR="00A842AA">
              <w:t>c</w:t>
            </w:r>
            <w:r w:rsidR="00164E96">
              <w:t>es.</w:t>
            </w:r>
          </w:p>
        </w:tc>
      </w:tr>
      <w:tr w:rsidR="006D224C" w14:paraId="429A1217" w14:textId="77777777" w:rsidTr="00FF6642">
        <w:trPr>
          <w:trHeight w:val="7807"/>
        </w:trPr>
        <w:tc>
          <w:tcPr>
            <w:cnfStyle w:val="001000000000" w:firstRow="0" w:lastRow="0" w:firstColumn="1" w:lastColumn="0" w:oddVBand="0" w:evenVBand="0" w:oddHBand="0" w:evenHBand="0" w:firstRowFirstColumn="0" w:firstRowLastColumn="0" w:lastRowFirstColumn="0" w:lastRowLastColumn="0"/>
            <w:tcW w:w="1833" w:type="dxa"/>
          </w:tcPr>
          <w:p w14:paraId="3B8B1B50" w14:textId="42262CD3" w:rsidR="006D224C" w:rsidRDefault="00164E96" w:rsidP="00256775">
            <w:pPr>
              <w:pStyle w:val="TableText-Left"/>
              <w:spacing w:before="0"/>
            </w:pPr>
            <w:proofErr w:type="spellStart"/>
            <w:r>
              <w:t>TCoS</w:t>
            </w:r>
            <w:proofErr w:type="spellEnd"/>
            <w:r>
              <w:t xml:space="preserve"> to </w:t>
            </w:r>
            <w:proofErr w:type="spellStart"/>
            <w:r>
              <w:t>ECoS</w:t>
            </w:r>
            <w:proofErr w:type="spellEnd"/>
            <w:r>
              <w:t xml:space="preserve"> migration</w:t>
            </w:r>
          </w:p>
        </w:tc>
        <w:tc>
          <w:tcPr>
            <w:tcW w:w="4536" w:type="dxa"/>
          </w:tcPr>
          <w:p w14:paraId="07C5295A" w14:textId="2224F4A5" w:rsidR="00164E96" w:rsidRDefault="009E0979"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Two respondents noted that it not yet clear, or detailed in the delivery plan, how transition arrangement will</w:t>
            </w:r>
            <w:r w:rsidR="00DE66F4">
              <w:t xml:space="preserve"> be delivered. </w:t>
            </w:r>
            <w:r w:rsidR="00164E96">
              <w:t xml:space="preserve">One respondent noted that the LC13A consultation document does not give any </w:t>
            </w:r>
            <w:r w:rsidR="00164E96" w:rsidRPr="00EC16ED">
              <w:t>additional information on critical DCC assumptions underpinning the 10-month migration period in 2022 and 2023.  For example:</w:t>
            </w:r>
          </w:p>
          <w:p w14:paraId="1B4716E7" w14:textId="77777777" w:rsidR="00164E96" w:rsidRDefault="00164E96" w:rsidP="00256775">
            <w:pPr>
              <w:pStyle w:val="TableText-Left"/>
              <w:spacing w:before="0"/>
              <w:cnfStyle w:val="000000000000" w:firstRow="0" w:lastRow="0" w:firstColumn="0" w:lastColumn="0" w:oddVBand="0" w:evenVBand="0" w:oddHBand="0" w:evenHBand="0" w:firstRowFirstColumn="0" w:firstRowLastColumn="0" w:lastRowFirstColumn="0" w:lastRowLastColumn="0"/>
            </w:pPr>
          </w:p>
          <w:p w14:paraId="34A1EE74" w14:textId="3081673D" w:rsidR="00164E96" w:rsidRPr="00EC16ED" w:rsidRDefault="00164E96"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EC16ED">
              <w:t>The migration pace needed to meet the projected 10-month migration window.</w:t>
            </w:r>
          </w:p>
          <w:p w14:paraId="5FD30981" w14:textId="6DD77B6A" w:rsidR="00164E96" w:rsidRDefault="00164E96"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EC16ED">
              <w:t>The prioritisation of migrations based on meter types, meter combinations and / or customer types.</w:t>
            </w:r>
          </w:p>
          <w:p w14:paraId="033C35EE" w14:textId="0ADDAA31" w:rsidR="00164E96" w:rsidRDefault="00164E96"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EC16ED">
              <w:t xml:space="preserve">Any potential impacts to other operational DCC services, including outages. </w:t>
            </w:r>
          </w:p>
          <w:p w14:paraId="322DCC68" w14:textId="5949F26D" w:rsidR="00164E96" w:rsidRDefault="00164E96"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EC16ED">
              <w:t>Factors which could impact on the maintenance and operation of SMETS1 / SMETS2 assets.</w:t>
            </w:r>
          </w:p>
          <w:p w14:paraId="22077A3D" w14:textId="77777777" w:rsidR="00164E96" w:rsidRDefault="00164E96" w:rsidP="00256775">
            <w:pPr>
              <w:pStyle w:val="MOTLevel1NumberedParagraph"/>
              <w:numPr>
                <w:ilvl w:val="0"/>
                <w:numId w:val="18"/>
              </w:numPr>
              <w:spacing w:before="0"/>
              <w:ind w:left="469" w:hanging="284"/>
              <w:cnfStyle w:val="000000000000" w:firstRow="0" w:lastRow="0" w:firstColumn="0" w:lastColumn="0" w:oddVBand="0" w:evenVBand="0" w:oddHBand="0" w:evenHBand="0" w:firstRowFirstColumn="0" w:firstRowLastColumn="0" w:lastRowFirstColumn="0" w:lastRowLastColumn="0"/>
            </w:pPr>
            <w:r w:rsidRPr="00EC16ED">
              <w:t xml:space="preserve">Factors which could impact on delivery of services to energy consumers, who will be entirely unaware of the industry </w:t>
            </w:r>
            <w:proofErr w:type="spellStart"/>
            <w:r w:rsidRPr="00EC16ED">
              <w:t>ECoS</w:t>
            </w:r>
            <w:proofErr w:type="spellEnd"/>
            <w:r w:rsidRPr="00EC16ED">
              <w:t xml:space="preserve"> programme.</w:t>
            </w:r>
          </w:p>
          <w:p w14:paraId="62A3A8BF" w14:textId="7300920E" w:rsidR="00FF6642" w:rsidRDefault="00FF6642" w:rsidP="00256775">
            <w:pPr>
              <w:spacing w:before="0"/>
              <w:cnfStyle w:val="000000000000" w:firstRow="0" w:lastRow="0" w:firstColumn="0" w:lastColumn="0" w:oddVBand="0" w:evenVBand="0" w:oddHBand="0" w:evenHBand="0" w:firstRowFirstColumn="0" w:firstRowLastColumn="0" w:lastRowFirstColumn="0" w:lastRowLastColumn="0"/>
            </w:pPr>
            <w:r>
              <w:t>This respondent consider</w:t>
            </w:r>
            <w:r w:rsidR="00AC18EC">
              <w:t>ed</w:t>
            </w:r>
            <w:r>
              <w:t xml:space="preserve"> that the </w:t>
            </w:r>
            <w:proofErr w:type="spellStart"/>
            <w:r>
              <w:t>TCoS</w:t>
            </w:r>
            <w:proofErr w:type="spellEnd"/>
            <w:r>
              <w:t xml:space="preserve"> to </w:t>
            </w:r>
            <w:proofErr w:type="spellStart"/>
            <w:r>
              <w:t>ECoS</w:t>
            </w:r>
            <w:proofErr w:type="spellEnd"/>
            <w:r>
              <w:t xml:space="preserve"> migration phase should be broken down into its various component parts to allow the resource, duration and cost impacts of each phase to be fully understood, and the consequences of late delivery by the DCC to be determined.</w:t>
            </w:r>
          </w:p>
        </w:tc>
        <w:tc>
          <w:tcPr>
            <w:tcW w:w="3119" w:type="dxa"/>
          </w:tcPr>
          <w:p w14:paraId="24E2E2E5" w14:textId="196C1F68" w:rsidR="006D224C" w:rsidRDefault="00CE34FD"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DCC notes these comments</w:t>
            </w:r>
            <w:r w:rsidR="00164E96">
              <w:t>.</w:t>
            </w:r>
          </w:p>
          <w:p w14:paraId="3B8D9BAD" w14:textId="037B1BB7" w:rsidR="00FF6642" w:rsidRDefault="00FF6642" w:rsidP="00256775">
            <w:pPr>
              <w:pStyle w:val="TableText-Left"/>
              <w:spacing w:before="0"/>
              <w:cnfStyle w:val="000000000000" w:firstRow="0" w:lastRow="0" w:firstColumn="0" w:lastColumn="0" w:oddVBand="0" w:evenVBand="0" w:oddHBand="0" w:evenHBand="0" w:firstRowFirstColumn="0" w:firstRowLastColumn="0" w:lastRowFirstColumn="0" w:lastRowLastColumn="0"/>
            </w:pPr>
          </w:p>
        </w:tc>
      </w:tr>
      <w:tr w:rsidR="006D224C" w14:paraId="5254D889"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4EB171AC" w14:textId="722540BF" w:rsidR="006D224C" w:rsidRDefault="00164E96" w:rsidP="00256775">
            <w:pPr>
              <w:pStyle w:val="TableText-Left"/>
              <w:spacing w:before="0"/>
            </w:pPr>
            <w:r>
              <w:t>Testing environment</w:t>
            </w:r>
          </w:p>
        </w:tc>
        <w:tc>
          <w:tcPr>
            <w:tcW w:w="4536" w:type="dxa"/>
          </w:tcPr>
          <w:p w14:paraId="24FFECCE" w14:textId="77777777" w:rsidR="00164E96" w:rsidRDefault="00164E96"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One respondent considered that insufficient detail was</w:t>
            </w:r>
            <w:r w:rsidRPr="00EB022F">
              <w:t xml:space="preserve"> provided regarding how testing environment usage will be managed. The</w:t>
            </w:r>
            <w:r>
              <w:t>y noted that</w:t>
            </w:r>
            <w:r w:rsidRPr="00EB022F">
              <w:t xml:space="preserve"> consultation states that an environments schedule will be shared at the appropriate governance fora, but it does not specify what these fora will be or what, if any, governance will accompany this. The</w:t>
            </w:r>
            <w:r>
              <w:t xml:space="preserve">y requested </w:t>
            </w:r>
            <w:r w:rsidRPr="00EB022F">
              <w:t>further detail around what role its Sub-Committees, particularly the TAG, will play in overseeing environment usage.</w:t>
            </w:r>
          </w:p>
          <w:p w14:paraId="698681A2" w14:textId="5DA8DB06" w:rsidR="00164E96" w:rsidRPr="00164E96" w:rsidRDefault="00164E96" w:rsidP="00256775">
            <w:pPr>
              <w:pStyle w:val="TableText-Left"/>
              <w:spacing w:before="0"/>
              <w:cnfStyle w:val="000000000000" w:firstRow="0" w:lastRow="0" w:firstColumn="0" w:lastColumn="0" w:oddVBand="0" w:evenVBand="0" w:oddHBand="0" w:evenHBand="0" w:firstRowFirstColumn="0" w:firstRowLastColumn="0" w:lastRowFirstColumn="0" w:lastRowLastColumn="0"/>
            </w:pPr>
            <w:r w:rsidRPr="00EB022F">
              <w:t xml:space="preserve">The testing contingency approach set out in the consultation document would see testing of ECOS interactions with the CSS take place outside both the SIT and User Integration Testing (UIT) environments. </w:t>
            </w:r>
            <w:r w:rsidR="0097326C">
              <w:t xml:space="preserve">They stated that it was </w:t>
            </w:r>
            <w:r w:rsidRPr="00EB022F">
              <w:t>unclear from the consultation document where this testing would take place, and how reflective that environment will be of the production environment. The</w:t>
            </w:r>
            <w:r>
              <w:t xml:space="preserve"> respondent requested</w:t>
            </w:r>
            <w:r w:rsidRPr="00EB022F">
              <w:t xml:space="preserve"> further detail around where this contingent testing would be exercised, and what </w:t>
            </w:r>
            <w:r>
              <w:t>governance would accompany that.</w:t>
            </w:r>
          </w:p>
          <w:p w14:paraId="0862BD70" w14:textId="6A785273" w:rsidR="006D224C" w:rsidRDefault="006D224C" w:rsidP="00256775">
            <w:pPr>
              <w:pStyle w:val="TableText-Left"/>
              <w:tabs>
                <w:tab w:val="left" w:pos="3202"/>
              </w:tabs>
              <w:spacing w:before="0"/>
              <w:cnfStyle w:val="000000000000" w:firstRow="0" w:lastRow="0" w:firstColumn="0" w:lastColumn="0" w:oddVBand="0" w:evenVBand="0" w:oddHBand="0" w:evenHBand="0" w:firstRowFirstColumn="0" w:firstRowLastColumn="0" w:lastRowFirstColumn="0" w:lastRowLastColumn="0"/>
            </w:pPr>
          </w:p>
        </w:tc>
        <w:tc>
          <w:tcPr>
            <w:tcW w:w="3119" w:type="dxa"/>
          </w:tcPr>
          <w:p w14:paraId="556F8B5C" w14:textId="139DBA2D" w:rsidR="006D224C" w:rsidRDefault="00375A8D"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Environment control will follow current DCC processes as well as the new proposed process of making this</w:t>
            </w:r>
            <w:r w:rsidR="00214E3D">
              <w:t xml:space="preserve"> an ag</w:t>
            </w:r>
            <w:r w:rsidR="00F64B9D">
              <w:t>e</w:t>
            </w:r>
            <w:r w:rsidR="00214E3D">
              <w:t xml:space="preserve">nda item regularly discussed at </w:t>
            </w:r>
            <w:r>
              <w:t>TAG</w:t>
            </w:r>
            <w:r w:rsidR="00F64B9D">
              <w:t>.</w:t>
            </w:r>
          </w:p>
          <w:p w14:paraId="0DF7D5AF" w14:textId="77777777" w:rsidR="00375A8D" w:rsidRDefault="00375A8D" w:rsidP="00256775">
            <w:pPr>
              <w:pStyle w:val="TableText-Left"/>
              <w:spacing w:before="0"/>
              <w:cnfStyle w:val="000000000000" w:firstRow="0" w:lastRow="0" w:firstColumn="0" w:lastColumn="0" w:oddVBand="0" w:evenVBand="0" w:oddHBand="0" w:evenHBand="0" w:firstRowFirstColumn="0" w:firstRowLastColumn="0" w:lastRowFirstColumn="0" w:lastRowLastColumn="0"/>
            </w:pPr>
          </w:p>
          <w:p w14:paraId="4F0A1F05" w14:textId="7CA389F9" w:rsidR="00375A8D" w:rsidRDefault="00375A8D"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As highlighted in Section 5.5.5, this is a contingency and if it is </w:t>
            </w:r>
            <w:r w:rsidR="0035170E">
              <w:t>needed</w:t>
            </w:r>
            <w:r>
              <w:t>, it would be run as a separate sub</w:t>
            </w:r>
            <w:r w:rsidR="00CE34FD">
              <w:t>-</w:t>
            </w:r>
            <w:r>
              <w:t>project and will be planned accordingly with the relevant testing environments being made available.</w:t>
            </w:r>
          </w:p>
        </w:tc>
      </w:tr>
      <w:tr w:rsidR="006D224C" w14:paraId="38D5C68F"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1C03D1D2" w14:textId="21449869" w:rsidR="006D224C" w:rsidRDefault="00375A8D" w:rsidP="00256775">
            <w:pPr>
              <w:pStyle w:val="TableText-Left"/>
              <w:spacing w:before="0"/>
            </w:pPr>
            <w:r>
              <w:t xml:space="preserve">Testing environment </w:t>
            </w:r>
            <w:r w:rsidR="009E0979">
              <w:t>contention</w:t>
            </w:r>
          </w:p>
        </w:tc>
        <w:tc>
          <w:tcPr>
            <w:tcW w:w="4536" w:type="dxa"/>
          </w:tcPr>
          <w:p w14:paraId="5C19C17D" w14:textId="537C9BD0" w:rsidR="009E0979" w:rsidRDefault="009E0979"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One respondent noted that a</w:t>
            </w:r>
            <w:r w:rsidRPr="00902D5B">
              <w:t xml:space="preserve">s with all </w:t>
            </w:r>
            <w:r w:rsidRPr="009E0979">
              <w:t xml:space="preserve">DCC releases test environment contention is often a critical issue. The timing of </w:t>
            </w:r>
            <w:proofErr w:type="spellStart"/>
            <w:r w:rsidRPr="009E0979">
              <w:t>ECoS</w:t>
            </w:r>
            <w:proofErr w:type="spellEnd"/>
            <w:r w:rsidRPr="009E0979">
              <w:t xml:space="preserve"> delivery will coincide with other changes and, based on current test environment capability, it </w:t>
            </w:r>
            <w:r w:rsidR="0097326C">
              <w:t>was</w:t>
            </w:r>
            <w:r w:rsidRPr="009E0979">
              <w:t xml:space="preserve"> not clear how this can be effectively managed.</w:t>
            </w:r>
          </w:p>
          <w:p w14:paraId="599514CB" w14:textId="77777777" w:rsidR="006D224C" w:rsidRDefault="006D224C" w:rsidP="00256775">
            <w:pPr>
              <w:pStyle w:val="TableText-Left"/>
              <w:spacing w:before="0"/>
              <w:cnfStyle w:val="000000000000" w:firstRow="0" w:lastRow="0" w:firstColumn="0" w:lastColumn="0" w:oddVBand="0" w:evenVBand="0" w:oddHBand="0" w:evenHBand="0" w:firstRowFirstColumn="0" w:firstRowLastColumn="0" w:lastRowFirstColumn="0" w:lastRowLastColumn="0"/>
            </w:pPr>
          </w:p>
        </w:tc>
        <w:tc>
          <w:tcPr>
            <w:tcW w:w="3119" w:type="dxa"/>
          </w:tcPr>
          <w:p w14:paraId="474B8FBB" w14:textId="27A52D0D" w:rsidR="006D224C" w:rsidRDefault="009E0979"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Environment control will follow current DCC processes as well as the new proposed process of making this</w:t>
            </w:r>
            <w:r w:rsidR="00E13037">
              <w:t xml:space="preserve"> and agenda item regularly discussed at </w:t>
            </w:r>
            <w:r>
              <w:t>TAG</w:t>
            </w:r>
            <w:r w:rsidR="00B9746C">
              <w:t>.</w:t>
            </w:r>
          </w:p>
        </w:tc>
      </w:tr>
      <w:tr w:rsidR="006D224C" w14:paraId="220FAAF2"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7C2F3CAE" w14:textId="3AB1EAE2" w:rsidR="006D224C" w:rsidRDefault="008050DC" w:rsidP="00256775">
            <w:pPr>
              <w:pStyle w:val="TableText-Left"/>
              <w:spacing w:before="0"/>
            </w:pPr>
            <w:r>
              <w:t>Continued engagement</w:t>
            </w:r>
          </w:p>
        </w:tc>
        <w:tc>
          <w:tcPr>
            <w:tcW w:w="4536" w:type="dxa"/>
          </w:tcPr>
          <w:p w14:paraId="3B37CC28" w14:textId="6E7254C6" w:rsidR="006D224C" w:rsidRDefault="008050DC"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One respondent considers that DCC nee</w:t>
            </w:r>
            <w:r w:rsidR="0097326C">
              <w:t>d</w:t>
            </w:r>
            <w:r>
              <w:t xml:space="preserve">s to ensure that Users are kept informed of progress, have sight and input into risk and issues, right through the </w:t>
            </w:r>
            <w:proofErr w:type="spellStart"/>
            <w:r>
              <w:t>ECoS</w:t>
            </w:r>
            <w:proofErr w:type="spellEnd"/>
            <w:r>
              <w:t xml:space="preserve"> delivery. They noted that engagement with device manufacturers also needs to be maintained </w:t>
            </w:r>
            <w:proofErr w:type="spellStart"/>
            <w:r>
              <w:t>throughtout</w:t>
            </w:r>
            <w:proofErr w:type="spellEnd"/>
            <w:r>
              <w:t xml:space="preserve"> the project with clear governance and requirements provided to ensure any device availability is suitably managed.</w:t>
            </w:r>
          </w:p>
        </w:tc>
        <w:tc>
          <w:tcPr>
            <w:tcW w:w="3119" w:type="dxa"/>
          </w:tcPr>
          <w:p w14:paraId="669FF890" w14:textId="4F8BE912" w:rsidR="006D224C" w:rsidRDefault="00593E1D"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DCC notes this comment</w:t>
            </w:r>
            <w:r w:rsidR="00025923">
              <w:t>. DCC aims to work in step with its stakeholders to keep them informed of progress, and where appropriate</w:t>
            </w:r>
            <w:r>
              <w:t xml:space="preserve"> will</w:t>
            </w:r>
            <w:r w:rsidR="00025923">
              <w:t xml:space="preserve"> seek input from stakeholders on how programmes develop.</w:t>
            </w:r>
          </w:p>
        </w:tc>
      </w:tr>
      <w:tr w:rsidR="006D224C" w14:paraId="392CE0D9" w14:textId="77777777" w:rsidTr="00FF6642">
        <w:tc>
          <w:tcPr>
            <w:cnfStyle w:val="001000000000" w:firstRow="0" w:lastRow="0" w:firstColumn="1" w:lastColumn="0" w:oddVBand="0" w:evenVBand="0" w:oddHBand="0" w:evenHBand="0" w:firstRowFirstColumn="0" w:firstRowLastColumn="0" w:lastRowFirstColumn="0" w:lastRowLastColumn="0"/>
            <w:tcW w:w="1833" w:type="dxa"/>
          </w:tcPr>
          <w:p w14:paraId="64D797B6" w14:textId="1676D7F4" w:rsidR="006D224C" w:rsidRDefault="008050DC" w:rsidP="00256775">
            <w:pPr>
              <w:pStyle w:val="TableText-Left"/>
              <w:spacing w:before="0"/>
            </w:pPr>
            <w:r>
              <w:t>Interaction with DSP retender and CSS delivery</w:t>
            </w:r>
          </w:p>
        </w:tc>
        <w:tc>
          <w:tcPr>
            <w:tcW w:w="4536" w:type="dxa"/>
          </w:tcPr>
          <w:p w14:paraId="749D8474" w14:textId="698240F6" w:rsidR="00DE66F4" w:rsidRDefault="00DE66F4"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One respondent welcomed</w:t>
            </w:r>
            <w:r w:rsidRPr="005005FD">
              <w:t xml:space="preserve"> further information on how the interaction between these 3 major developments will be managed and coordinated and, more importantly, what the dependencies are between them and how any slippage will impact or be mitigated. </w:t>
            </w:r>
            <w:r>
              <w:t>They outlined that they</w:t>
            </w:r>
            <w:r w:rsidRPr="005005FD">
              <w:t xml:space="preserve"> would expect to see some scenario planning being carried out to assess the risk and to determine what, if any, impact slippage in CSS or DSP retender would on </w:t>
            </w:r>
            <w:proofErr w:type="spellStart"/>
            <w:r w:rsidRPr="005005FD">
              <w:t>ECoS</w:t>
            </w:r>
            <w:proofErr w:type="spellEnd"/>
            <w:r w:rsidRPr="005005FD">
              <w:t xml:space="preserve"> delivery.</w:t>
            </w:r>
          </w:p>
          <w:p w14:paraId="3DE41E2C" w14:textId="77777777" w:rsidR="006D224C" w:rsidRDefault="006D224C" w:rsidP="00256775">
            <w:pPr>
              <w:pStyle w:val="TableText-Left"/>
              <w:spacing w:before="0"/>
              <w:cnfStyle w:val="000000000000" w:firstRow="0" w:lastRow="0" w:firstColumn="0" w:lastColumn="0" w:oddVBand="0" w:evenVBand="0" w:oddHBand="0" w:evenHBand="0" w:firstRowFirstColumn="0" w:firstRowLastColumn="0" w:lastRowFirstColumn="0" w:lastRowLastColumn="0"/>
            </w:pPr>
          </w:p>
        </w:tc>
        <w:tc>
          <w:tcPr>
            <w:tcW w:w="3119" w:type="dxa"/>
          </w:tcPr>
          <w:p w14:paraId="73665DE4" w14:textId="396A0B39" w:rsidR="006D224C" w:rsidRDefault="00DE66F4"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Noted. Risk R1 and Section 5.5.5 of the Consultation Document relates to CSS Delivery delays explicitly and how </w:t>
            </w:r>
            <w:r w:rsidR="00612232">
              <w:t>they</w:t>
            </w:r>
            <w:r>
              <w:t xml:space="preserve"> will be mitigated. It should also be noted, that CSS is a key dependency in supporting the delivery of </w:t>
            </w:r>
            <w:proofErr w:type="spellStart"/>
            <w:r>
              <w:t>ECoS</w:t>
            </w:r>
            <w:proofErr w:type="spellEnd"/>
            <w:r>
              <w:t xml:space="preserve"> and internal </w:t>
            </w:r>
            <w:r w:rsidR="00B9746C">
              <w:t>activities</w:t>
            </w:r>
            <w:r w:rsidR="004673A7">
              <w:t xml:space="preserve"> to manage </w:t>
            </w:r>
            <w:r>
              <w:t>alignment are ongoing.</w:t>
            </w:r>
          </w:p>
        </w:tc>
      </w:tr>
    </w:tbl>
    <w:p w14:paraId="20B0F2BD" w14:textId="0946F3EF" w:rsidR="00C73450" w:rsidRDefault="00C73450" w:rsidP="00256775">
      <w:pPr>
        <w:pStyle w:val="ParagraphNumbering"/>
        <w:numPr>
          <w:ilvl w:val="0"/>
          <w:numId w:val="0"/>
        </w:numPr>
        <w:spacing w:before="0"/>
      </w:pPr>
    </w:p>
    <w:p w14:paraId="12A9F0C8" w14:textId="74CA345A" w:rsidR="00882379" w:rsidRDefault="00882379" w:rsidP="00256775">
      <w:pPr>
        <w:pStyle w:val="Heading3"/>
        <w:spacing w:before="120" w:after="240"/>
        <w:ind w:left="851" w:hanging="851"/>
      </w:pPr>
      <w:bookmarkStart w:id="7" w:name="_Toc35273518"/>
      <w:r>
        <w:t>Contingency</w:t>
      </w:r>
      <w:r w:rsidR="003337D9">
        <w:t xml:space="preserve"> (Question 3)</w:t>
      </w:r>
      <w:bookmarkEnd w:id="7"/>
    </w:p>
    <w:p w14:paraId="1F4FF80D" w14:textId="0610D79C" w:rsidR="008A6C57" w:rsidRDefault="00BC5893" w:rsidP="00EF24A0">
      <w:pPr>
        <w:pStyle w:val="ParagraphNumbering"/>
        <w:numPr>
          <w:ilvl w:val="0"/>
          <w:numId w:val="0"/>
        </w:numPr>
        <w:tabs>
          <w:tab w:val="clear" w:pos="-1134"/>
        </w:tabs>
        <w:spacing w:before="0"/>
      </w:pPr>
      <w:r>
        <w:t xml:space="preserve">DCC asked one </w:t>
      </w:r>
      <w:proofErr w:type="spellStart"/>
      <w:r>
        <w:t>one</w:t>
      </w:r>
      <w:proofErr w:type="spellEnd"/>
      <w:r>
        <w:t xml:space="preserve"> question regarding the </w:t>
      </w:r>
      <w:r w:rsidR="009B7C8F">
        <w:t xml:space="preserve">proposal for including contingency within </w:t>
      </w:r>
      <w:r w:rsidR="00927553">
        <w:t>the plan</w:t>
      </w:r>
      <w:r w:rsidR="00523550">
        <w:t>,</w:t>
      </w:r>
      <w:r w:rsidR="003337D9">
        <w:t xml:space="preserve"> as follows:</w:t>
      </w:r>
    </w:p>
    <w:tbl>
      <w:tblPr>
        <w:tblStyle w:val="TableTemplate1"/>
        <w:tblW w:w="8647" w:type="dxa"/>
        <w:tblInd w:w="108" w:type="dxa"/>
        <w:tblLook w:val="04A0" w:firstRow="1" w:lastRow="0" w:firstColumn="1" w:lastColumn="0" w:noHBand="0" w:noVBand="1"/>
      </w:tblPr>
      <w:tblGrid>
        <w:gridCol w:w="709"/>
        <w:gridCol w:w="7938"/>
      </w:tblGrid>
      <w:tr w:rsidR="00594776" w:rsidRPr="00FD6751" w14:paraId="1A0BD030" w14:textId="77777777" w:rsidTr="001440C7">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709" w:type="dxa"/>
          </w:tcPr>
          <w:p w14:paraId="1C3EF85D" w14:textId="4E77776E" w:rsidR="00594776" w:rsidRPr="00FD6751" w:rsidRDefault="00594776" w:rsidP="00256775">
            <w:pPr>
              <w:spacing w:before="0" w:after="0" w:line="264" w:lineRule="auto"/>
              <w:rPr>
                <w:rFonts w:eastAsia="Times New Roman"/>
                <w:sz w:val="21"/>
                <w:szCs w:val="21"/>
              </w:rPr>
            </w:pPr>
            <w:r w:rsidRPr="00FD6751">
              <w:rPr>
                <w:rFonts w:eastAsia="Times New Roman"/>
                <w:sz w:val="21"/>
                <w:szCs w:val="21"/>
              </w:rPr>
              <w:t>Q</w:t>
            </w:r>
            <w:r w:rsidR="00F651DA">
              <w:rPr>
                <w:rFonts w:eastAsia="Times New Roman"/>
                <w:sz w:val="21"/>
                <w:szCs w:val="21"/>
              </w:rPr>
              <w:t>3</w:t>
            </w:r>
          </w:p>
        </w:tc>
        <w:tc>
          <w:tcPr>
            <w:tcW w:w="7938" w:type="dxa"/>
            <w:shd w:val="clear" w:color="auto" w:fill="FFFFFF"/>
          </w:tcPr>
          <w:p w14:paraId="36CAB844" w14:textId="5809CA09" w:rsidR="00594776" w:rsidRPr="003157AB" w:rsidRDefault="00385990" w:rsidP="00256775">
            <w:pPr>
              <w:spacing w:before="0" w:after="0" w:line="264" w:lineRule="auto"/>
              <w:cnfStyle w:val="100000000000" w:firstRow="1" w:lastRow="0" w:firstColumn="0" w:lastColumn="0" w:oddVBand="0" w:evenVBand="0" w:oddHBand="0" w:evenHBand="0" w:firstRowFirstColumn="0" w:firstRowLastColumn="0" w:lastRowFirstColumn="0" w:lastRowLastColumn="0"/>
              <w:rPr>
                <w:rFonts w:eastAsia="Times New Roman"/>
                <w:b w:val="0"/>
                <w:color w:val="441854"/>
                <w:sz w:val="21"/>
                <w:szCs w:val="21"/>
              </w:rPr>
            </w:pPr>
            <w:r>
              <w:rPr>
                <w:rFonts w:eastAsia="Times New Roman"/>
                <w:color w:val="441854"/>
                <w:sz w:val="21"/>
                <w:szCs w:val="21"/>
              </w:rPr>
              <w:t xml:space="preserve">Do you have any comments on DCC’s proposal for </w:t>
            </w:r>
            <w:r w:rsidR="000C35CE">
              <w:rPr>
                <w:rFonts w:eastAsia="Times New Roman"/>
                <w:color w:val="441854"/>
                <w:sz w:val="21"/>
                <w:szCs w:val="21"/>
              </w:rPr>
              <w:t>five months of contingency within the plan, or on the proposals</w:t>
            </w:r>
            <w:r w:rsidR="008A6C57">
              <w:rPr>
                <w:rFonts w:eastAsia="Times New Roman"/>
                <w:color w:val="441854"/>
                <w:sz w:val="21"/>
                <w:szCs w:val="21"/>
              </w:rPr>
              <w:t xml:space="preserve"> for managing release of this time?</w:t>
            </w:r>
          </w:p>
        </w:tc>
      </w:tr>
    </w:tbl>
    <w:p w14:paraId="4E42DEC2" w14:textId="10A27C8A" w:rsidR="00F651DA" w:rsidRDefault="0051397B" w:rsidP="000D6D5F">
      <w:pPr>
        <w:pStyle w:val="Heading4"/>
        <w:spacing w:after="240"/>
        <w:ind w:left="0" w:firstLine="720"/>
      </w:pPr>
      <w:r>
        <w:t>Summary of submission</w:t>
      </w:r>
      <w:r w:rsidR="005366E0">
        <w:t>s</w:t>
      </w:r>
      <w:r>
        <w:t xml:space="preserve"> on </w:t>
      </w:r>
      <w:r w:rsidR="007C0597">
        <w:t>Q</w:t>
      </w:r>
      <w:r w:rsidR="00791675">
        <w:t xml:space="preserve">uestion </w:t>
      </w:r>
      <w:r w:rsidR="007C0597">
        <w:t>3</w:t>
      </w:r>
    </w:p>
    <w:p w14:paraId="5EBC2FEF" w14:textId="4C203C9B" w:rsidR="00CE1B47" w:rsidRDefault="00CE1B47" w:rsidP="00EF24A0">
      <w:pPr>
        <w:pStyle w:val="ParagraphNumbering"/>
        <w:numPr>
          <w:ilvl w:val="0"/>
          <w:numId w:val="0"/>
        </w:numPr>
        <w:tabs>
          <w:tab w:val="clear" w:pos="-1134"/>
        </w:tabs>
        <w:spacing w:before="0"/>
      </w:pPr>
      <w:r>
        <w:t>All five respondents provided comment on the contingency within the plan. There was broad support for five months of contingency within the plan and many responders agreed that it is sensible.</w:t>
      </w:r>
    </w:p>
    <w:p w14:paraId="7487CE5F" w14:textId="436B4686" w:rsidR="00CE1B47" w:rsidRDefault="00CE1B47" w:rsidP="00EF24A0">
      <w:pPr>
        <w:pStyle w:val="ParagraphNumbering"/>
        <w:numPr>
          <w:ilvl w:val="0"/>
          <w:numId w:val="0"/>
        </w:numPr>
        <w:tabs>
          <w:tab w:val="clear" w:pos="-1134"/>
        </w:tabs>
        <w:spacing w:before="0"/>
      </w:pPr>
      <w:r>
        <w:t xml:space="preserve">Comments were largely focused around the processes and governance arrangements that would </w:t>
      </w:r>
      <w:r w:rsidR="0097326C">
        <w:t xml:space="preserve">be </w:t>
      </w:r>
      <w:r>
        <w:t>set up</w:t>
      </w:r>
      <w:r w:rsidR="0097326C">
        <w:t>,</w:t>
      </w:r>
      <w:r>
        <w:t xml:space="preserve"> if the contingency time was required. Several organisations stressed that they would expect any decision on contingency to take place well in advance of the milestones that cannot be met, rather than an approach where milestones are missed, and contingency becomes a retrospective activity. </w:t>
      </w:r>
    </w:p>
    <w:p w14:paraId="1904F798" w14:textId="77777777" w:rsidR="00CE1B47" w:rsidRPr="00AB4B62" w:rsidRDefault="00CE1B47" w:rsidP="00EF24A0">
      <w:pPr>
        <w:pStyle w:val="ParagraphNumbering"/>
        <w:numPr>
          <w:ilvl w:val="0"/>
          <w:numId w:val="0"/>
        </w:numPr>
        <w:tabs>
          <w:tab w:val="clear" w:pos="-1134"/>
        </w:tabs>
        <w:spacing w:before="0"/>
      </w:pPr>
      <w:r>
        <w:t>Additional detail was requested around the role that responders might play in the governance of any decision to draw on contingency time. Questions were asked about how DCC Users will be provided with new milestones and timelines and whether there will be any regular reporting. It was reiterated that regular reporting was important, not only in terms of contingency but also overall delivery of this item.</w:t>
      </w:r>
    </w:p>
    <w:p w14:paraId="13A94FCF" w14:textId="4490813D" w:rsidR="008C4C8A" w:rsidRDefault="00685C76" w:rsidP="00256775">
      <w:pPr>
        <w:pStyle w:val="Heading4"/>
        <w:spacing w:before="120" w:after="240"/>
        <w:ind w:left="0" w:firstLine="720"/>
      </w:pPr>
      <w:r>
        <w:t>DCC</w:t>
      </w:r>
      <w:r w:rsidR="00791675">
        <w:t>’s</w:t>
      </w:r>
      <w:r>
        <w:t xml:space="preserve"> response</w:t>
      </w:r>
      <w:r w:rsidR="00A200B5">
        <w:t xml:space="preserve"> to submissions on Q</w:t>
      </w:r>
      <w:r w:rsidR="00791675">
        <w:t xml:space="preserve">uestion </w:t>
      </w:r>
      <w:r w:rsidR="00A200B5">
        <w:t>3</w:t>
      </w:r>
    </w:p>
    <w:p w14:paraId="0DE1AD4A" w14:textId="5565813A" w:rsidR="0050476D" w:rsidRDefault="00D871B3" w:rsidP="00EF24A0">
      <w:pPr>
        <w:pStyle w:val="ParagraphNumbering"/>
        <w:numPr>
          <w:ilvl w:val="0"/>
          <w:numId w:val="0"/>
        </w:numPr>
        <w:tabs>
          <w:tab w:val="clear" w:pos="-1134"/>
        </w:tabs>
        <w:spacing w:before="0"/>
      </w:pPr>
      <w:r>
        <w:t>DCC agrees that if the contingency is utilised that all stakeholder</w:t>
      </w:r>
      <w:r w:rsidR="00CB0924">
        <w:t>s</w:t>
      </w:r>
      <w:r>
        <w:t xml:space="preserve"> will need to be provided with advanced warning of</w:t>
      </w:r>
      <w:r w:rsidR="00CB0924">
        <w:t xml:space="preserve"> both new milestones and timelines.</w:t>
      </w:r>
      <w:r w:rsidR="00753799">
        <w:t xml:space="preserve"> </w:t>
      </w:r>
      <w:r w:rsidR="00180A0D">
        <w:t xml:space="preserve">Once the RFP has been distributed, DCC will set up </w:t>
      </w:r>
      <w:r w:rsidR="00C90010">
        <w:t>a Steering Group to oversee the project deliverables with internal and external stakeholders.</w:t>
      </w:r>
      <w:r w:rsidR="001676AB">
        <w:t xml:space="preserve"> </w:t>
      </w:r>
      <w:r w:rsidR="00CE03A6">
        <w:t>Finalising contracts will allow mileston</w:t>
      </w:r>
      <w:r w:rsidR="00E57754">
        <w:t>es</w:t>
      </w:r>
      <w:r w:rsidR="00F956A7">
        <w:t xml:space="preserve"> and timelines to be updated. As more detail becomes available</w:t>
      </w:r>
      <w:r w:rsidR="0087475C">
        <w:t xml:space="preserve">, and when a </w:t>
      </w:r>
      <w:proofErr w:type="spellStart"/>
      <w:r w:rsidR="00D83528">
        <w:t>CoS</w:t>
      </w:r>
      <w:proofErr w:type="spellEnd"/>
      <w:r w:rsidR="00D83528">
        <w:t xml:space="preserve"> party is on board, more refined planning will take place and</w:t>
      </w:r>
      <w:r w:rsidR="00F218D6">
        <w:t xml:space="preserve"> DCC</w:t>
      </w:r>
      <w:r w:rsidR="00D83528">
        <w:t xml:space="preserve"> will be </w:t>
      </w:r>
      <w:proofErr w:type="gramStart"/>
      <w:r w:rsidR="00D83528">
        <w:t>in a position</w:t>
      </w:r>
      <w:proofErr w:type="gramEnd"/>
      <w:r w:rsidR="00D83528">
        <w:t xml:space="preserve"> to </w:t>
      </w:r>
      <w:r w:rsidR="001D4ED2">
        <w:t xml:space="preserve">update all stakeholders on any milestones and timelines that </w:t>
      </w:r>
      <w:r w:rsidR="00CE0229">
        <w:t>might need to change.</w:t>
      </w:r>
    </w:p>
    <w:p w14:paraId="0F8B8948" w14:textId="48235BED" w:rsidR="000D6D5F" w:rsidRDefault="000A3E86" w:rsidP="00EF24A0">
      <w:pPr>
        <w:pStyle w:val="ParagraphNumbering"/>
        <w:numPr>
          <w:ilvl w:val="0"/>
          <w:numId w:val="0"/>
        </w:numPr>
        <w:tabs>
          <w:tab w:val="clear" w:pos="-1134"/>
        </w:tabs>
        <w:spacing w:before="0"/>
      </w:pPr>
      <w:r>
        <w:t>The decision to use programme contingency will be made following engagement</w:t>
      </w:r>
      <w:r w:rsidR="00607290">
        <w:t xml:space="preserve"> with programme stakeholders to ensure any impacts on wider programme delivery are fully understood and assessed.</w:t>
      </w:r>
    </w:p>
    <w:p w14:paraId="0F8A6B11" w14:textId="77777777" w:rsidR="000D6D5F" w:rsidRDefault="000D6D5F">
      <w:pPr>
        <w:spacing w:before="0" w:after="0"/>
      </w:pPr>
      <w:r>
        <w:br w:type="page"/>
      </w:r>
    </w:p>
    <w:p w14:paraId="5582F6B2" w14:textId="3F42503F" w:rsidR="00594776" w:rsidRDefault="00A61C4A" w:rsidP="00256775">
      <w:pPr>
        <w:pStyle w:val="Heading3"/>
        <w:spacing w:before="120" w:after="240"/>
        <w:ind w:left="851" w:hanging="851"/>
      </w:pPr>
      <w:bookmarkStart w:id="8" w:name="_Toc35273519"/>
      <w:r>
        <w:t xml:space="preserve">Risks, Assumptions and </w:t>
      </w:r>
      <w:r w:rsidR="000D6D5F">
        <w:t>D</w:t>
      </w:r>
      <w:r>
        <w:t>ependencies</w:t>
      </w:r>
      <w:r w:rsidR="00F807FA">
        <w:t xml:space="preserve"> (Question 4)</w:t>
      </w:r>
      <w:bookmarkEnd w:id="8"/>
    </w:p>
    <w:p w14:paraId="6E8751BF" w14:textId="688F6D56" w:rsidR="00A61C4A" w:rsidRDefault="00F73B6F" w:rsidP="00EF24A0">
      <w:pPr>
        <w:pStyle w:val="ParagraphNumbering"/>
        <w:numPr>
          <w:ilvl w:val="0"/>
          <w:numId w:val="0"/>
        </w:numPr>
        <w:tabs>
          <w:tab w:val="clear" w:pos="-1134"/>
        </w:tabs>
        <w:spacing w:before="0"/>
      </w:pPr>
      <w:r>
        <w:t xml:space="preserve">DCC asked one </w:t>
      </w:r>
      <w:r w:rsidR="0094062D">
        <w:t>questions regarding</w:t>
      </w:r>
      <w:r w:rsidR="00CD0BE5">
        <w:t xml:space="preserve"> the risks, assumptions and dependencies in relation to the </w:t>
      </w:r>
      <w:proofErr w:type="spellStart"/>
      <w:r w:rsidR="00CD0BE5">
        <w:t>ECoS</w:t>
      </w:r>
      <w:proofErr w:type="spellEnd"/>
      <w:r w:rsidR="00CD0BE5">
        <w:t xml:space="preserve"> plan, as follows</w:t>
      </w:r>
      <w:r w:rsidR="006C7B0C">
        <w:t>:</w:t>
      </w:r>
    </w:p>
    <w:tbl>
      <w:tblPr>
        <w:tblStyle w:val="TableTemplate1"/>
        <w:tblW w:w="8647" w:type="dxa"/>
        <w:tblInd w:w="108" w:type="dxa"/>
        <w:tblLook w:val="04A0" w:firstRow="1" w:lastRow="0" w:firstColumn="1" w:lastColumn="0" w:noHBand="0" w:noVBand="1"/>
      </w:tblPr>
      <w:tblGrid>
        <w:gridCol w:w="709"/>
        <w:gridCol w:w="7938"/>
      </w:tblGrid>
      <w:tr w:rsidR="006C7B0C" w:rsidRPr="00FD6751" w14:paraId="5BAAA65C" w14:textId="77777777" w:rsidTr="00F05101">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709" w:type="dxa"/>
          </w:tcPr>
          <w:p w14:paraId="1938FF81" w14:textId="3A0FCB87" w:rsidR="006C7B0C" w:rsidRPr="00FD6751" w:rsidRDefault="006C7B0C" w:rsidP="00256775">
            <w:pPr>
              <w:spacing w:before="0" w:after="0" w:line="264" w:lineRule="auto"/>
              <w:rPr>
                <w:rFonts w:eastAsia="Times New Roman"/>
                <w:sz w:val="21"/>
                <w:szCs w:val="21"/>
              </w:rPr>
            </w:pPr>
            <w:r w:rsidRPr="00FD6751">
              <w:rPr>
                <w:rFonts w:eastAsia="Times New Roman"/>
                <w:sz w:val="21"/>
                <w:szCs w:val="21"/>
              </w:rPr>
              <w:t>Q</w:t>
            </w:r>
            <w:r>
              <w:rPr>
                <w:rFonts w:eastAsia="Times New Roman"/>
                <w:sz w:val="21"/>
                <w:szCs w:val="21"/>
              </w:rPr>
              <w:t>4</w:t>
            </w:r>
          </w:p>
        </w:tc>
        <w:tc>
          <w:tcPr>
            <w:tcW w:w="7938" w:type="dxa"/>
            <w:shd w:val="clear" w:color="auto" w:fill="FFFFFF"/>
          </w:tcPr>
          <w:p w14:paraId="3AAEB6E1" w14:textId="173923F2" w:rsidR="006C7B0C" w:rsidRPr="003157AB" w:rsidRDefault="006C7B0C" w:rsidP="00256775">
            <w:pPr>
              <w:spacing w:before="0" w:after="0" w:line="264" w:lineRule="auto"/>
              <w:cnfStyle w:val="100000000000" w:firstRow="1" w:lastRow="0" w:firstColumn="0" w:lastColumn="0" w:oddVBand="0" w:evenVBand="0" w:oddHBand="0" w:evenHBand="0" w:firstRowFirstColumn="0" w:firstRowLastColumn="0" w:lastRowFirstColumn="0" w:lastRowLastColumn="0"/>
              <w:rPr>
                <w:rFonts w:eastAsia="Times New Roman"/>
                <w:b w:val="0"/>
                <w:color w:val="441854"/>
                <w:sz w:val="21"/>
                <w:szCs w:val="21"/>
              </w:rPr>
            </w:pPr>
            <w:r>
              <w:rPr>
                <w:rFonts w:eastAsia="Times New Roman"/>
                <w:color w:val="441854"/>
                <w:sz w:val="21"/>
                <w:szCs w:val="21"/>
              </w:rPr>
              <w:t xml:space="preserve">Do </w:t>
            </w:r>
            <w:r w:rsidR="00621666">
              <w:rPr>
                <w:rFonts w:eastAsia="Times New Roman"/>
                <w:color w:val="441854"/>
                <w:sz w:val="21"/>
                <w:szCs w:val="21"/>
              </w:rPr>
              <w:t xml:space="preserve">you have any comments on DCC’s assessments of the risks, assumptions and dependencies in relation to the </w:t>
            </w:r>
            <w:proofErr w:type="spellStart"/>
            <w:r w:rsidR="00621666">
              <w:rPr>
                <w:rFonts w:eastAsia="Times New Roman"/>
                <w:color w:val="441854"/>
                <w:sz w:val="21"/>
                <w:szCs w:val="21"/>
              </w:rPr>
              <w:t>ECoS</w:t>
            </w:r>
            <w:proofErr w:type="spellEnd"/>
            <w:r w:rsidR="00621666">
              <w:rPr>
                <w:rFonts w:eastAsia="Times New Roman"/>
                <w:color w:val="441854"/>
                <w:sz w:val="21"/>
                <w:szCs w:val="21"/>
              </w:rPr>
              <w:t xml:space="preserve"> plan?</w:t>
            </w:r>
          </w:p>
        </w:tc>
      </w:tr>
    </w:tbl>
    <w:p w14:paraId="7B0B6142" w14:textId="38559E15" w:rsidR="00A61C4A" w:rsidRDefault="00A61C4A" w:rsidP="00256775">
      <w:pPr>
        <w:spacing w:before="0" w:after="0"/>
      </w:pPr>
    </w:p>
    <w:p w14:paraId="479E5DAD" w14:textId="426E36C3" w:rsidR="00F0272C" w:rsidRDefault="00F0272C" w:rsidP="00256775">
      <w:pPr>
        <w:pStyle w:val="Heading4"/>
        <w:spacing w:before="120" w:after="240"/>
        <w:ind w:left="0" w:firstLine="720"/>
      </w:pPr>
      <w:r>
        <w:t>Summary of submissions on Q</w:t>
      </w:r>
      <w:r w:rsidR="00791675">
        <w:t xml:space="preserve">uestion </w:t>
      </w:r>
      <w:r>
        <w:t>4</w:t>
      </w:r>
    </w:p>
    <w:p w14:paraId="1EDEB9A5" w14:textId="7A1BF9C6" w:rsidR="00F0272C" w:rsidRDefault="00B66650" w:rsidP="00EF24A0">
      <w:pPr>
        <w:pStyle w:val="ParagraphNumbering"/>
        <w:numPr>
          <w:ilvl w:val="0"/>
          <w:numId w:val="0"/>
        </w:numPr>
        <w:tabs>
          <w:tab w:val="clear" w:pos="-1134"/>
        </w:tabs>
        <w:spacing w:before="0"/>
      </w:pPr>
      <w:r>
        <w:t>All parties responded to question</w:t>
      </w:r>
      <w:r w:rsidR="0097326C">
        <w:t xml:space="preserve"> 4</w:t>
      </w:r>
      <w:r>
        <w:t xml:space="preserve"> directly</w:t>
      </w:r>
      <w:r w:rsidR="000C65F4">
        <w:t xml:space="preserve">, with mixed responses regarding the </w:t>
      </w:r>
      <w:r w:rsidR="00295B85">
        <w:t>risks, assumptions and dependencies</w:t>
      </w:r>
      <w:r w:rsidR="0097326C">
        <w:t>,</w:t>
      </w:r>
      <w:r w:rsidR="00295B85">
        <w:t xml:space="preserve"> as outlined in the draft </w:t>
      </w:r>
      <w:r w:rsidR="00703D26">
        <w:t xml:space="preserve">delivery plan for </w:t>
      </w:r>
      <w:proofErr w:type="spellStart"/>
      <w:r w:rsidR="00703D26">
        <w:t>ECoS</w:t>
      </w:r>
      <w:proofErr w:type="spellEnd"/>
      <w:r w:rsidR="00703D26">
        <w:t>.</w:t>
      </w:r>
    </w:p>
    <w:p w14:paraId="4CF557BF" w14:textId="715C6CD8" w:rsidR="00703D26" w:rsidRDefault="00703D26" w:rsidP="00EF24A0">
      <w:pPr>
        <w:pStyle w:val="ParagraphNumbering"/>
        <w:numPr>
          <w:ilvl w:val="0"/>
          <w:numId w:val="0"/>
        </w:numPr>
        <w:tabs>
          <w:tab w:val="clear" w:pos="-1134"/>
        </w:tabs>
        <w:spacing w:before="0"/>
      </w:pPr>
      <w:r>
        <w:t xml:space="preserve">Two of the respondents did not have </w:t>
      </w:r>
      <w:r w:rsidR="00883D09">
        <w:t>any specific comments but noted that as delivery progresses, they expect DCC to continue to engage with stakeholders</w:t>
      </w:r>
      <w:r w:rsidR="00F3206D">
        <w:t>.</w:t>
      </w:r>
    </w:p>
    <w:p w14:paraId="01C89176" w14:textId="4B2B7702" w:rsidR="00F3206D" w:rsidRDefault="00F3206D" w:rsidP="00EF24A0">
      <w:pPr>
        <w:pStyle w:val="ParagraphNumbering"/>
        <w:numPr>
          <w:ilvl w:val="0"/>
          <w:numId w:val="0"/>
        </w:numPr>
        <w:tabs>
          <w:tab w:val="clear" w:pos="-1134"/>
        </w:tabs>
        <w:spacing w:before="0"/>
      </w:pPr>
      <w:r>
        <w:t xml:space="preserve">Three of the respondents provided detailed comments on </w:t>
      </w:r>
      <w:proofErr w:type="spellStart"/>
      <w:r>
        <w:t>specifc</w:t>
      </w:r>
      <w:proofErr w:type="spellEnd"/>
      <w:r>
        <w:t xml:space="preserve"> risks, </w:t>
      </w:r>
      <w:r w:rsidR="00570E7D">
        <w:t xml:space="preserve">assumptions and dependencies. </w:t>
      </w:r>
      <w:r w:rsidR="00F30807">
        <w:t>Where</w:t>
      </w:r>
      <w:r w:rsidR="00E8160D">
        <w:t xml:space="preserve"> </w:t>
      </w:r>
      <w:r w:rsidR="00F071F2">
        <w:t>DCC</w:t>
      </w:r>
      <w:r w:rsidR="00E8160D">
        <w:t xml:space="preserve"> consider</w:t>
      </w:r>
      <w:r w:rsidR="00F071F2">
        <w:t>s</w:t>
      </w:r>
      <w:r w:rsidR="00E8160D">
        <w:t xml:space="preserve"> that </w:t>
      </w:r>
      <w:r w:rsidR="00F30807">
        <w:t>a</w:t>
      </w:r>
      <w:r w:rsidR="008F341F">
        <w:t xml:space="preserve">n appropriate </w:t>
      </w:r>
      <w:r w:rsidR="00E30659">
        <w:t>explanation</w:t>
      </w:r>
      <w:r w:rsidR="008F341F">
        <w:t xml:space="preserve"> is not adequately captured</w:t>
      </w:r>
      <w:r w:rsidR="007262D2">
        <w:t xml:space="preserve"> </w:t>
      </w:r>
      <w:r w:rsidR="00F071F2">
        <w:t xml:space="preserve">either </w:t>
      </w:r>
      <w:r w:rsidR="007262D2">
        <w:t xml:space="preserve">in the delivery plan, or elsewhere in this consultation </w:t>
      </w:r>
      <w:proofErr w:type="spellStart"/>
      <w:r w:rsidR="007262D2">
        <w:t>conlclusion</w:t>
      </w:r>
      <w:proofErr w:type="spellEnd"/>
      <w:r w:rsidR="007262D2">
        <w:t xml:space="preserve"> document, DCC responses</w:t>
      </w:r>
      <w:r w:rsidR="0015507A">
        <w:t xml:space="preserve"> to those submissions are provided in the table below.</w:t>
      </w:r>
    </w:p>
    <w:p w14:paraId="5D815593" w14:textId="736E2BA6" w:rsidR="0015507A" w:rsidRPr="00256775" w:rsidRDefault="0015507A" w:rsidP="00256775">
      <w:pPr>
        <w:pStyle w:val="Heading4"/>
        <w:spacing w:before="120" w:after="240"/>
        <w:ind w:left="0" w:firstLine="720"/>
      </w:pPr>
      <w:r w:rsidRPr="00256775">
        <w:t xml:space="preserve">Table </w:t>
      </w:r>
      <w:proofErr w:type="spellStart"/>
      <w:r w:rsidR="000D6D5F">
        <w:t>oulining</w:t>
      </w:r>
      <w:proofErr w:type="spellEnd"/>
      <w:r w:rsidRPr="00256775">
        <w:t xml:space="preserve"> submissions on Q</w:t>
      </w:r>
      <w:r w:rsidR="00791675" w:rsidRPr="00256775">
        <w:t xml:space="preserve">uestion </w:t>
      </w:r>
      <w:r w:rsidRPr="00256775">
        <w:t xml:space="preserve">4 and </w:t>
      </w:r>
      <w:r w:rsidR="008145E3" w:rsidRPr="00256775">
        <w:t>DCC</w:t>
      </w:r>
      <w:r w:rsidR="00791675" w:rsidRPr="00256775">
        <w:t>’s</w:t>
      </w:r>
      <w:r w:rsidR="008145E3" w:rsidRPr="00256775">
        <w:t xml:space="preserve"> response</w:t>
      </w:r>
    </w:p>
    <w:tbl>
      <w:tblPr>
        <w:tblStyle w:val="TableTemplate1"/>
        <w:tblW w:w="0" w:type="auto"/>
        <w:tblLook w:val="04A0" w:firstRow="1" w:lastRow="0" w:firstColumn="1" w:lastColumn="0" w:noHBand="0" w:noVBand="1"/>
      </w:tblPr>
      <w:tblGrid>
        <w:gridCol w:w="1833"/>
        <w:gridCol w:w="4253"/>
        <w:gridCol w:w="3402"/>
      </w:tblGrid>
      <w:tr w:rsidR="00C34A5B" w14:paraId="65E6A495" w14:textId="77777777" w:rsidTr="000D6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2E619033" w14:textId="2A5722FF" w:rsidR="00C34A5B" w:rsidRDefault="00BA639E" w:rsidP="00256775">
            <w:pPr>
              <w:pStyle w:val="TableHeadings"/>
              <w:spacing w:before="0"/>
            </w:pPr>
            <w:r>
              <w:t>Description</w:t>
            </w:r>
          </w:p>
        </w:tc>
        <w:tc>
          <w:tcPr>
            <w:tcW w:w="4253" w:type="dxa"/>
          </w:tcPr>
          <w:p w14:paraId="6FE5CA51" w14:textId="254776C8" w:rsidR="00C34A5B" w:rsidRDefault="008C749D" w:rsidP="00256775">
            <w:pPr>
              <w:pStyle w:val="TableHeadings"/>
              <w:spacing w:before="0"/>
              <w:cnfStyle w:val="100000000000" w:firstRow="1" w:lastRow="0" w:firstColumn="0" w:lastColumn="0" w:oddVBand="0" w:evenVBand="0" w:oddHBand="0" w:evenHBand="0" w:firstRowFirstColumn="0" w:firstRowLastColumn="0" w:lastRowFirstColumn="0" w:lastRowLastColumn="0"/>
            </w:pPr>
            <w:r>
              <w:t>Su</w:t>
            </w:r>
            <w:r w:rsidR="00C34A5B">
              <w:t>bmissions on</w:t>
            </w:r>
            <w:r>
              <w:t xml:space="preserve"> </w:t>
            </w:r>
            <w:r w:rsidR="0097326C">
              <w:t>R</w:t>
            </w:r>
            <w:r>
              <w:t xml:space="preserve">isks, </w:t>
            </w:r>
            <w:r w:rsidR="0097326C">
              <w:t>A</w:t>
            </w:r>
            <w:r>
              <w:t xml:space="preserve">ssumptions and </w:t>
            </w:r>
            <w:r w:rsidR="0097326C">
              <w:t>D</w:t>
            </w:r>
            <w:r>
              <w:t xml:space="preserve">ependencies in </w:t>
            </w:r>
            <w:proofErr w:type="spellStart"/>
            <w:r w:rsidR="00C34A5B">
              <w:t>ECoS</w:t>
            </w:r>
            <w:proofErr w:type="spellEnd"/>
            <w:r w:rsidR="00C34A5B">
              <w:t xml:space="preserve"> delivery plan</w:t>
            </w:r>
          </w:p>
        </w:tc>
        <w:tc>
          <w:tcPr>
            <w:tcW w:w="3402" w:type="dxa"/>
          </w:tcPr>
          <w:p w14:paraId="5D8F84CD" w14:textId="77777777" w:rsidR="00C34A5B" w:rsidRDefault="00C34A5B" w:rsidP="00256775">
            <w:pPr>
              <w:pStyle w:val="TableHeadings"/>
              <w:spacing w:before="0"/>
              <w:cnfStyle w:val="100000000000" w:firstRow="1" w:lastRow="0" w:firstColumn="0" w:lastColumn="0" w:oddVBand="0" w:evenVBand="0" w:oddHBand="0" w:evenHBand="0" w:firstRowFirstColumn="0" w:firstRowLastColumn="0" w:lastRowFirstColumn="0" w:lastRowLastColumn="0"/>
            </w:pPr>
            <w:r>
              <w:t>DCC’s response</w:t>
            </w:r>
          </w:p>
        </w:tc>
      </w:tr>
      <w:tr w:rsidR="00C34A5B" w14:paraId="79660715"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5C44C87C" w14:textId="2ACCF7B7" w:rsidR="00C34A5B" w:rsidRPr="004F7708" w:rsidRDefault="004948A8" w:rsidP="00256775">
            <w:pPr>
              <w:pStyle w:val="TableText-Left"/>
              <w:spacing w:before="0"/>
            </w:pPr>
            <w:r>
              <w:t>Add</w:t>
            </w:r>
            <w:r w:rsidR="00060EA0">
              <w:t xml:space="preserve">itional risks </w:t>
            </w:r>
            <w:r w:rsidR="009025BE">
              <w:t xml:space="preserve">proposed for inclusion </w:t>
            </w:r>
            <w:r w:rsidR="00246F0C">
              <w:t>in delivery plan</w:t>
            </w:r>
          </w:p>
        </w:tc>
        <w:tc>
          <w:tcPr>
            <w:tcW w:w="4253" w:type="dxa"/>
          </w:tcPr>
          <w:p w14:paraId="08574AE8" w14:textId="5F257316" w:rsidR="00C34A5B" w:rsidRDefault="00C34A5B" w:rsidP="00256775">
            <w:pPr>
              <w:spacing w:before="0"/>
              <w:cnfStyle w:val="000000000000" w:firstRow="0" w:lastRow="0" w:firstColumn="0" w:lastColumn="0" w:oddVBand="0" w:evenVBand="0" w:oddHBand="0" w:evenHBand="0" w:firstRowFirstColumn="0" w:firstRowLastColumn="0" w:lastRowFirstColumn="0" w:lastRowLastColumn="0"/>
            </w:pPr>
            <w:r w:rsidRPr="00894E08">
              <w:t>O</w:t>
            </w:r>
            <w:r w:rsidR="000B06FE">
              <w:t>ne respondent</w:t>
            </w:r>
            <w:r w:rsidR="00B51FFF">
              <w:t xml:space="preserve"> suggested risks that </w:t>
            </w:r>
            <w:r w:rsidR="00692735">
              <w:t>should</w:t>
            </w:r>
            <w:r w:rsidR="00B51FFF">
              <w:t xml:space="preserve"> be added to the </w:t>
            </w:r>
            <w:r w:rsidR="00DC2DD9">
              <w:t>delivery plan:</w:t>
            </w:r>
          </w:p>
          <w:p w14:paraId="50EB6AB9" w14:textId="402A51CF" w:rsidR="00DC2DD9" w:rsidRDefault="00DC2DD9" w:rsidP="00A2526A">
            <w:pPr>
              <w:pStyle w:val="ListParagraph"/>
              <w:numPr>
                <w:ilvl w:val="0"/>
                <w:numId w:val="19"/>
              </w:numPr>
              <w:spacing w:before="0"/>
              <w:ind w:left="319" w:hanging="283"/>
              <w:cnfStyle w:val="000000000000" w:firstRow="0" w:lastRow="0" w:firstColumn="0" w:lastColumn="0" w:oddVBand="0" w:evenVBand="0" w:oddHBand="0" w:evenHBand="0" w:firstRowFirstColumn="0" w:firstRowLastColumn="0" w:lastRowFirstColumn="0" w:lastRowLastColumn="0"/>
              <w:rPr>
                <w:i/>
                <w:iCs/>
              </w:rPr>
            </w:pPr>
            <w:r>
              <w:rPr>
                <w:i/>
                <w:iCs/>
              </w:rPr>
              <w:t>“There is a risk that the DCC Adapter providers need to make ch</w:t>
            </w:r>
            <w:r w:rsidR="00410982">
              <w:rPr>
                <w:i/>
                <w:iCs/>
              </w:rPr>
              <w:t>anges to be able to distinguish, and target, SR</w:t>
            </w:r>
            <w:r w:rsidR="001C1112">
              <w:rPr>
                <w:i/>
                <w:iCs/>
              </w:rPr>
              <w:t xml:space="preserve">s to assets which are at </w:t>
            </w:r>
            <w:proofErr w:type="spellStart"/>
            <w:r w:rsidR="001C1112">
              <w:rPr>
                <w:i/>
                <w:iCs/>
              </w:rPr>
              <w:t>TCoS</w:t>
            </w:r>
            <w:proofErr w:type="spellEnd"/>
            <w:r w:rsidR="001C1112">
              <w:rPr>
                <w:i/>
                <w:iCs/>
              </w:rPr>
              <w:t xml:space="preserve"> or at </w:t>
            </w:r>
            <w:proofErr w:type="spellStart"/>
            <w:r w:rsidR="001C1112">
              <w:rPr>
                <w:i/>
                <w:iCs/>
              </w:rPr>
              <w:t>ECoS</w:t>
            </w:r>
            <w:proofErr w:type="spellEnd"/>
            <w:r w:rsidR="001C1112">
              <w:rPr>
                <w:i/>
                <w:iCs/>
              </w:rPr>
              <w:t>”</w:t>
            </w:r>
            <w:r w:rsidR="0061018D">
              <w:rPr>
                <w:i/>
                <w:iCs/>
              </w:rPr>
              <w:t>.</w:t>
            </w:r>
          </w:p>
          <w:p w14:paraId="00DF36FE" w14:textId="48004B6C" w:rsidR="001C1112" w:rsidRDefault="001C1112" w:rsidP="00256775">
            <w:pPr>
              <w:pStyle w:val="ListParagraph"/>
              <w:spacing w:before="0"/>
              <w:ind w:left="319"/>
              <w:cnfStyle w:val="000000000000" w:firstRow="0" w:lastRow="0" w:firstColumn="0" w:lastColumn="0" w:oddVBand="0" w:evenVBand="0" w:oddHBand="0" w:evenHBand="0" w:firstRowFirstColumn="0" w:firstRowLastColumn="0" w:lastRowFirstColumn="0" w:lastRowLastColumn="0"/>
              <w:rPr>
                <w:i/>
                <w:iCs/>
              </w:rPr>
            </w:pPr>
          </w:p>
          <w:p w14:paraId="7414C0FB" w14:textId="77777777" w:rsidR="001C1112" w:rsidRDefault="001C1112" w:rsidP="00A2526A">
            <w:pPr>
              <w:pStyle w:val="ListParagraph"/>
              <w:numPr>
                <w:ilvl w:val="0"/>
                <w:numId w:val="19"/>
              </w:numPr>
              <w:spacing w:before="0"/>
              <w:ind w:left="319" w:hanging="283"/>
              <w:cnfStyle w:val="000000000000" w:firstRow="0" w:lastRow="0" w:firstColumn="0" w:lastColumn="0" w:oddVBand="0" w:evenVBand="0" w:oddHBand="0" w:evenHBand="0" w:firstRowFirstColumn="0" w:firstRowLastColumn="0" w:lastRowFirstColumn="0" w:lastRowLastColumn="0"/>
              <w:rPr>
                <w:i/>
                <w:iCs/>
              </w:rPr>
            </w:pPr>
            <w:r>
              <w:rPr>
                <w:i/>
                <w:iCs/>
              </w:rPr>
              <w:t xml:space="preserve">“There is a risk that the migration of assets from </w:t>
            </w:r>
            <w:proofErr w:type="spellStart"/>
            <w:r>
              <w:rPr>
                <w:i/>
                <w:iCs/>
              </w:rPr>
              <w:t>TCoS</w:t>
            </w:r>
            <w:proofErr w:type="spellEnd"/>
            <w:r>
              <w:rPr>
                <w:i/>
                <w:iCs/>
              </w:rPr>
              <w:t xml:space="preserve"> to </w:t>
            </w:r>
            <w:proofErr w:type="spellStart"/>
            <w:r>
              <w:rPr>
                <w:i/>
                <w:iCs/>
              </w:rPr>
              <w:t>ECoS</w:t>
            </w:r>
            <w:proofErr w:type="spellEnd"/>
            <w:r>
              <w:rPr>
                <w:i/>
                <w:iCs/>
              </w:rPr>
              <w:t xml:space="preserve"> does not cover all DCC User devices”.</w:t>
            </w:r>
          </w:p>
          <w:p w14:paraId="5B3C5BBC" w14:textId="58BCB2FE" w:rsidR="001C1112" w:rsidRPr="001C1112" w:rsidRDefault="001C1112" w:rsidP="00256775">
            <w:pPr>
              <w:pStyle w:val="ListParagraph"/>
              <w:spacing w:before="0"/>
              <w:ind w:left="319"/>
              <w:cnfStyle w:val="000000000000" w:firstRow="0" w:lastRow="0" w:firstColumn="0" w:lastColumn="0" w:oddVBand="0" w:evenVBand="0" w:oddHBand="0" w:evenHBand="0" w:firstRowFirstColumn="0" w:firstRowLastColumn="0" w:lastRowFirstColumn="0" w:lastRowLastColumn="0"/>
              <w:rPr>
                <w:i/>
                <w:iCs/>
              </w:rPr>
            </w:pPr>
          </w:p>
          <w:p w14:paraId="55CC2D83" w14:textId="12C989EB" w:rsidR="001C1112" w:rsidRPr="00DC2DD9" w:rsidRDefault="00180CD8" w:rsidP="00A2526A">
            <w:pPr>
              <w:pStyle w:val="ListParagraph"/>
              <w:numPr>
                <w:ilvl w:val="0"/>
                <w:numId w:val="19"/>
              </w:numPr>
              <w:spacing w:before="0"/>
              <w:ind w:left="319" w:hanging="283"/>
              <w:cnfStyle w:val="000000000000" w:firstRow="0" w:lastRow="0" w:firstColumn="0" w:lastColumn="0" w:oddVBand="0" w:evenVBand="0" w:oddHBand="0" w:evenHBand="0" w:firstRowFirstColumn="0" w:firstRowLastColumn="0" w:lastRowFirstColumn="0" w:lastRowLastColumn="0"/>
              <w:rPr>
                <w:i/>
                <w:iCs/>
              </w:rPr>
            </w:pPr>
            <w:r>
              <w:rPr>
                <w:i/>
                <w:iCs/>
              </w:rPr>
              <w:t>“</w:t>
            </w:r>
            <w:r w:rsidR="00CF647B">
              <w:rPr>
                <w:i/>
                <w:iCs/>
              </w:rPr>
              <w:t xml:space="preserve">There is a risk that device </w:t>
            </w:r>
            <w:proofErr w:type="spellStart"/>
            <w:r w:rsidR="00CF647B">
              <w:rPr>
                <w:i/>
                <w:iCs/>
              </w:rPr>
              <w:t>manufactureers</w:t>
            </w:r>
            <w:proofErr w:type="spellEnd"/>
            <w:r w:rsidR="00CF647B">
              <w:rPr>
                <w:i/>
                <w:iCs/>
              </w:rPr>
              <w:t xml:space="preserve"> will not have the devices available for testing”</w:t>
            </w:r>
            <w:r w:rsidR="0061018D">
              <w:rPr>
                <w:i/>
                <w:iCs/>
              </w:rPr>
              <w:t>.</w:t>
            </w:r>
          </w:p>
        </w:tc>
        <w:tc>
          <w:tcPr>
            <w:tcW w:w="3402" w:type="dxa"/>
          </w:tcPr>
          <w:p w14:paraId="15037212" w14:textId="41A4A0FD" w:rsidR="00C34A5B" w:rsidRDefault="00D44C0F"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Our comments on each of these three risks is outlined </w:t>
            </w:r>
            <w:r w:rsidR="009512DB">
              <w:t>below:</w:t>
            </w:r>
          </w:p>
          <w:p w14:paraId="63C0D2F7" w14:textId="77777777" w:rsidR="0097326C" w:rsidRDefault="0097326C" w:rsidP="00256775">
            <w:pPr>
              <w:pStyle w:val="TableText-Left"/>
              <w:spacing w:before="0"/>
              <w:cnfStyle w:val="000000000000" w:firstRow="0" w:lastRow="0" w:firstColumn="0" w:lastColumn="0" w:oddVBand="0" w:evenVBand="0" w:oddHBand="0" w:evenHBand="0" w:firstRowFirstColumn="0" w:firstRowLastColumn="0" w:lastRowFirstColumn="0" w:lastRowLastColumn="0"/>
            </w:pPr>
          </w:p>
          <w:p w14:paraId="732404B6" w14:textId="77777777" w:rsidR="009512DB" w:rsidRDefault="00884603" w:rsidP="00A2526A">
            <w:pPr>
              <w:pStyle w:val="ListParagraph"/>
              <w:numPr>
                <w:ilvl w:val="0"/>
                <w:numId w:val="20"/>
              </w:numPr>
              <w:spacing w:before="0"/>
              <w:ind w:left="325" w:hanging="325"/>
              <w:cnfStyle w:val="000000000000" w:firstRow="0" w:lastRow="0" w:firstColumn="0" w:lastColumn="0" w:oddVBand="0" w:evenVBand="0" w:oddHBand="0" w:evenHBand="0" w:firstRowFirstColumn="0" w:firstRowLastColumn="0" w:lastRowFirstColumn="0" w:lastRowLastColumn="0"/>
              <w:rPr>
                <w:i/>
                <w:iCs/>
              </w:rPr>
            </w:pPr>
            <w:r w:rsidRPr="00D75959">
              <w:rPr>
                <w:i/>
                <w:iCs/>
              </w:rPr>
              <w:t>We do not consider this a risk</w:t>
            </w:r>
            <w:r w:rsidR="00330219" w:rsidRPr="00D75959">
              <w:rPr>
                <w:i/>
                <w:iCs/>
              </w:rPr>
              <w:t xml:space="preserve"> because there is </w:t>
            </w:r>
            <w:r w:rsidR="008141FA">
              <w:rPr>
                <w:i/>
                <w:iCs/>
              </w:rPr>
              <w:t>not going to be a change to the adapter</w:t>
            </w:r>
          </w:p>
          <w:p w14:paraId="53805722" w14:textId="5BF16275" w:rsidR="008141FA" w:rsidRDefault="008141FA" w:rsidP="00256775">
            <w:pPr>
              <w:pStyle w:val="ListParagraph"/>
              <w:spacing w:before="0"/>
              <w:ind w:left="325"/>
              <w:cnfStyle w:val="000000000000" w:firstRow="0" w:lastRow="0" w:firstColumn="0" w:lastColumn="0" w:oddVBand="0" w:evenVBand="0" w:oddHBand="0" w:evenHBand="0" w:firstRowFirstColumn="0" w:firstRowLastColumn="0" w:lastRowFirstColumn="0" w:lastRowLastColumn="0"/>
              <w:rPr>
                <w:i/>
                <w:iCs/>
              </w:rPr>
            </w:pPr>
          </w:p>
          <w:p w14:paraId="5CEAE111" w14:textId="0E7B72D3" w:rsidR="008141FA" w:rsidRDefault="00A50ADD" w:rsidP="00A2526A">
            <w:pPr>
              <w:pStyle w:val="ListParagraph"/>
              <w:numPr>
                <w:ilvl w:val="0"/>
                <w:numId w:val="20"/>
              </w:numPr>
              <w:spacing w:before="0"/>
              <w:ind w:left="325" w:hanging="325"/>
              <w:cnfStyle w:val="000000000000" w:firstRow="0" w:lastRow="0" w:firstColumn="0" w:lastColumn="0" w:oddVBand="0" w:evenVBand="0" w:oddHBand="0" w:evenHBand="0" w:firstRowFirstColumn="0" w:firstRowLastColumn="0" w:lastRowFirstColumn="0" w:lastRowLastColumn="0"/>
              <w:rPr>
                <w:i/>
                <w:iCs/>
              </w:rPr>
            </w:pPr>
            <w:r>
              <w:rPr>
                <w:i/>
                <w:iCs/>
              </w:rPr>
              <w:t>We have added this risk to the delivery plan</w:t>
            </w:r>
            <w:r w:rsidR="008D0CCF">
              <w:rPr>
                <w:i/>
                <w:iCs/>
              </w:rPr>
              <w:t>. It is now captured as R18.</w:t>
            </w:r>
          </w:p>
          <w:p w14:paraId="39C93573" w14:textId="77777777" w:rsidR="00882EB1" w:rsidRPr="00882EB1" w:rsidRDefault="00882EB1" w:rsidP="00256775">
            <w:pPr>
              <w:pStyle w:val="ListParagraph"/>
              <w:spacing w:before="0"/>
              <w:cnfStyle w:val="000000000000" w:firstRow="0" w:lastRow="0" w:firstColumn="0" w:lastColumn="0" w:oddVBand="0" w:evenVBand="0" w:oddHBand="0" w:evenHBand="0" w:firstRowFirstColumn="0" w:firstRowLastColumn="0" w:lastRowFirstColumn="0" w:lastRowLastColumn="0"/>
              <w:rPr>
                <w:i/>
                <w:iCs/>
              </w:rPr>
            </w:pPr>
          </w:p>
          <w:p w14:paraId="14FAED15" w14:textId="47EAAC7F" w:rsidR="00882EB1" w:rsidRPr="008141FA" w:rsidRDefault="00882EB1" w:rsidP="00A2526A">
            <w:pPr>
              <w:pStyle w:val="ListParagraph"/>
              <w:numPr>
                <w:ilvl w:val="0"/>
                <w:numId w:val="20"/>
              </w:numPr>
              <w:spacing w:before="0"/>
              <w:ind w:left="325" w:hanging="325"/>
              <w:cnfStyle w:val="000000000000" w:firstRow="0" w:lastRow="0" w:firstColumn="0" w:lastColumn="0" w:oddVBand="0" w:evenVBand="0" w:oddHBand="0" w:evenHBand="0" w:firstRowFirstColumn="0" w:firstRowLastColumn="0" w:lastRowFirstColumn="0" w:lastRowLastColumn="0"/>
              <w:rPr>
                <w:i/>
                <w:iCs/>
              </w:rPr>
            </w:pPr>
            <w:r>
              <w:rPr>
                <w:i/>
                <w:iCs/>
              </w:rPr>
              <w:t xml:space="preserve">We consider that this point is adequately covered by R9 and </w:t>
            </w:r>
            <w:r w:rsidR="0061018D">
              <w:rPr>
                <w:i/>
                <w:iCs/>
              </w:rPr>
              <w:t>A2.</w:t>
            </w:r>
          </w:p>
        </w:tc>
      </w:tr>
      <w:tr w:rsidR="00B078BA" w14:paraId="68B90F4C"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37711515" w14:textId="7D888439" w:rsidR="00B078BA" w:rsidRDefault="00FF4087" w:rsidP="00256775">
            <w:pPr>
              <w:pStyle w:val="TableText-Left"/>
              <w:spacing w:before="0"/>
            </w:pPr>
            <w:r>
              <w:t>Assumption</w:t>
            </w:r>
            <w:r w:rsidR="006327C8">
              <w:t xml:space="preserve"> </w:t>
            </w:r>
            <w:r w:rsidR="00F049F0">
              <w:t>–</w:t>
            </w:r>
            <w:r w:rsidR="006327C8">
              <w:t xml:space="preserve"> GBCS</w:t>
            </w:r>
            <w:r w:rsidR="00F049F0">
              <w:t xml:space="preserve"> specification required for </w:t>
            </w:r>
            <w:proofErr w:type="spellStart"/>
            <w:r w:rsidR="00F049F0">
              <w:t>ECoS</w:t>
            </w:r>
            <w:proofErr w:type="spellEnd"/>
          </w:p>
        </w:tc>
        <w:tc>
          <w:tcPr>
            <w:tcW w:w="4253" w:type="dxa"/>
          </w:tcPr>
          <w:p w14:paraId="0842A471" w14:textId="0854AC3F" w:rsidR="00B078BA" w:rsidRPr="00894E08" w:rsidRDefault="002E3989" w:rsidP="00256775">
            <w:pPr>
              <w:spacing w:before="0"/>
              <w:cnfStyle w:val="000000000000" w:firstRow="0" w:lastRow="0" w:firstColumn="0" w:lastColumn="0" w:oddVBand="0" w:evenVBand="0" w:oddHBand="0" w:evenHBand="0" w:firstRowFirstColumn="0" w:firstRowLastColumn="0" w:lastRowFirstColumn="0" w:lastRowLastColumn="0"/>
            </w:pPr>
            <w:r>
              <w:t xml:space="preserve">One respondent stated that </w:t>
            </w:r>
            <w:r w:rsidR="0054720C">
              <w:t xml:space="preserve">Assumption A4 assumes that there will </w:t>
            </w:r>
            <w:r w:rsidR="00491CFE">
              <w:t>be no changes to GBCS</w:t>
            </w:r>
            <w:r w:rsidR="0092196B">
              <w:t xml:space="preserve">, however if there are changes required to allow normal service for devices with </w:t>
            </w:r>
            <w:proofErr w:type="spellStart"/>
            <w:r w:rsidR="0092196B">
              <w:t>TCoS</w:t>
            </w:r>
            <w:proofErr w:type="spellEnd"/>
            <w:r w:rsidR="0092196B">
              <w:t xml:space="preserve"> and </w:t>
            </w:r>
            <w:proofErr w:type="spellStart"/>
            <w:r w:rsidR="0092196B">
              <w:t>ECoS</w:t>
            </w:r>
            <w:proofErr w:type="spellEnd"/>
            <w:r w:rsidR="0092196B">
              <w:t xml:space="preserve"> these would need to be identified and </w:t>
            </w:r>
            <w:r w:rsidR="00603CF6">
              <w:t xml:space="preserve">serviced </w:t>
            </w:r>
            <w:r w:rsidR="00A814CB" w:rsidRPr="004A6C1B">
              <w:t>which would result in changes to GBCS, DUIS, and MMC. These need to be made visible to DCC Users and impacted parties at the earliest opportunity.</w:t>
            </w:r>
          </w:p>
        </w:tc>
        <w:tc>
          <w:tcPr>
            <w:tcW w:w="3402" w:type="dxa"/>
          </w:tcPr>
          <w:p w14:paraId="7FAB4668" w14:textId="5AACD2AD" w:rsidR="00B078BA" w:rsidRDefault="00FD26E6"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The design allows for this. There will be a lookup and routing of messages, applying the logic </w:t>
            </w:r>
            <w:proofErr w:type="spellStart"/>
            <w:r>
              <w:t>aroud</w:t>
            </w:r>
            <w:proofErr w:type="spellEnd"/>
            <w:r>
              <w:t xml:space="preserve"> </w:t>
            </w:r>
            <w:proofErr w:type="spellStart"/>
            <w:r>
              <w:t>ECoS</w:t>
            </w:r>
            <w:proofErr w:type="spellEnd"/>
            <w:r>
              <w:t xml:space="preserve"> or </w:t>
            </w:r>
            <w:proofErr w:type="spellStart"/>
            <w:r>
              <w:t>TCoS</w:t>
            </w:r>
            <w:proofErr w:type="spellEnd"/>
            <w:r>
              <w:t xml:space="preserve"> and depending on SMETS1 or </w:t>
            </w:r>
            <w:r w:rsidR="00DD1BE5">
              <w:t>SMETS</w:t>
            </w:r>
            <w:r>
              <w:t>2 devices.</w:t>
            </w:r>
          </w:p>
        </w:tc>
      </w:tr>
      <w:tr w:rsidR="00B078BA" w14:paraId="1FC0C4C7"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1CF29C8F" w14:textId="6B1FDDFB" w:rsidR="00B078BA" w:rsidRDefault="00FA7CF2" w:rsidP="00256775">
            <w:pPr>
              <w:pStyle w:val="TableText-Left"/>
              <w:spacing w:before="0"/>
            </w:pPr>
            <w:r>
              <w:t>Energy consumer impacts</w:t>
            </w:r>
          </w:p>
        </w:tc>
        <w:tc>
          <w:tcPr>
            <w:tcW w:w="4253" w:type="dxa"/>
          </w:tcPr>
          <w:p w14:paraId="226CDAEA" w14:textId="31CD65BB" w:rsidR="00B078BA" w:rsidRPr="00894E08" w:rsidRDefault="0008735D" w:rsidP="00256775">
            <w:pPr>
              <w:spacing w:before="0"/>
              <w:cnfStyle w:val="000000000000" w:firstRow="0" w:lastRow="0" w:firstColumn="0" w:lastColumn="0" w:oddVBand="0" w:evenVBand="0" w:oddHBand="0" w:evenHBand="0" w:firstRowFirstColumn="0" w:firstRowLastColumn="0" w:lastRowFirstColumn="0" w:lastRowLastColumn="0"/>
            </w:pPr>
            <w:r>
              <w:t xml:space="preserve">One responder was disappointed that DCC </w:t>
            </w:r>
            <w:r w:rsidR="0097326C">
              <w:t>did not include an</w:t>
            </w:r>
            <w:r>
              <w:t xml:space="preserve"> obvious reference to energy consumer impacts in any of the risks, assumptions or dependencies. They consider that potential energy consumer impacts do exist and will materialise where delivery is poorly controlled or executed.</w:t>
            </w:r>
          </w:p>
        </w:tc>
        <w:tc>
          <w:tcPr>
            <w:tcW w:w="3402" w:type="dxa"/>
          </w:tcPr>
          <w:p w14:paraId="451708FE" w14:textId="6D22EE6B" w:rsidR="00B078BA" w:rsidRDefault="00FD26E6"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Thank you for this</w:t>
            </w:r>
            <w:r w:rsidR="00E432B5">
              <w:t xml:space="preserve"> feedback. </w:t>
            </w:r>
            <w:proofErr w:type="gramStart"/>
            <w:r>
              <w:t>In</w:t>
            </w:r>
            <w:proofErr w:type="gramEnd"/>
            <w:r>
              <w:t xml:space="preserve"> the risk modelling we have not identified any inherent risks to the consumer, nor any residual risk. There is an overarching principle that DCC and its partners will always seek to deliver value for money to the consumer, as well as (in the case of the </w:t>
            </w:r>
            <w:proofErr w:type="spellStart"/>
            <w:r>
              <w:t>ECoS</w:t>
            </w:r>
            <w:proofErr w:type="spellEnd"/>
            <w:r>
              <w:t xml:space="preserve"> project), a more efficient and secure Change of Supplier process from within DCC Total Systems.</w:t>
            </w:r>
          </w:p>
        </w:tc>
      </w:tr>
      <w:tr w:rsidR="00B078BA" w14:paraId="0F93C3B2"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4149CB3A" w14:textId="6DC676B8" w:rsidR="00B078BA" w:rsidRDefault="008C7184" w:rsidP="00256775">
            <w:pPr>
              <w:pStyle w:val="TableText-Left"/>
              <w:spacing w:before="0"/>
            </w:pPr>
            <w:r>
              <w:t>Assumption – Meter Device Prerequisite Requirements</w:t>
            </w:r>
          </w:p>
        </w:tc>
        <w:tc>
          <w:tcPr>
            <w:tcW w:w="4253" w:type="dxa"/>
          </w:tcPr>
          <w:p w14:paraId="47064E1B" w14:textId="0034A849" w:rsidR="00B078BA" w:rsidRPr="00894E08" w:rsidRDefault="00EE4380" w:rsidP="00256775">
            <w:pPr>
              <w:spacing w:before="0"/>
              <w:cnfStyle w:val="000000000000" w:firstRow="0" w:lastRow="0" w:firstColumn="0" w:lastColumn="0" w:oddVBand="0" w:evenVBand="0" w:oddHBand="0" w:evenHBand="0" w:firstRowFirstColumn="0" w:firstRowLastColumn="0" w:lastRowFirstColumn="0" w:lastRowLastColumn="0"/>
            </w:pPr>
            <w:r>
              <w:t>The risks section makes no definitive statements on SMETS1 or SMETS2 meter firmware variant prerequisites. The DCC must clarify if new firmware variants will be required, given the associated costs and time to develop, test and subsequently deploy OTA upgrades to installed assets.</w:t>
            </w:r>
          </w:p>
        </w:tc>
        <w:tc>
          <w:tcPr>
            <w:tcW w:w="3402" w:type="dxa"/>
          </w:tcPr>
          <w:p w14:paraId="57EF3A13" w14:textId="7A9F9969" w:rsidR="00B078BA" w:rsidRDefault="00946CE9"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DCC have not identified any specific area where new firmware will be needed before a device can be migrated to </w:t>
            </w:r>
            <w:proofErr w:type="spellStart"/>
            <w:r>
              <w:t>ECoS</w:t>
            </w:r>
            <w:proofErr w:type="spellEnd"/>
            <w:r>
              <w:t>. There could be a small inherent risk during the transition phase, as with any other change, however we don’t believe this is directly related, nor caused by firmware already deployed, either SMETS1 or SMETS2+.</w:t>
            </w:r>
          </w:p>
        </w:tc>
      </w:tr>
      <w:tr w:rsidR="00B078BA" w14:paraId="5B30E7F5"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361498A6" w14:textId="5FB424D6" w:rsidR="00B078BA" w:rsidRDefault="009346E9" w:rsidP="00256775">
            <w:pPr>
              <w:pStyle w:val="TableText-Left"/>
              <w:spacing w:before="0"/>
            </w:pPr>
            <w:r>
              <w:t>Assump</w:t>
            </w:r>
            <w:r w:rsidR="00611A77">
              <w:t>tion – Energy Supplier Impacts from Failed Migration</w:t>
            </w:r>
          </w:p>
        </w:tc>
        <w:tc>
          <w:tcPr>
            <w:tcW w:w="4253" w:type="dxa"/>
          </w:tcPr>
          <w:p w14:paraId="4F30F84A" w14:textId="1127CE2B" w:rsidR="00B5350B" w:rsidRPr="00B5350B" w:rsidRDefault="002D0BA7" w:rsidP="00256775">
            <w:pPr>
              <w:spacing w:before="0"/>
              <w:cnfStyle w:val="000000000000" w:firstRow="0" w:lastRow="0" w:firstColumn="0" w:lastColumn="0" w:oddVBand="0" w:evenVBand="0" w:oddHBand="0" w:evenHBand="0" w:firstRowFirstColumn="0" w:firstRowLastColumn="0" w:lastRowFirstColumn="0" w:lastRowLastColumn="0"/>
            </w:pPr>
            <w:r>
              <w:t>One responder was concerned that Assumption A5 states that there will be ‘</w:t>
            </w:r>
            <w:r w:rsidRPr="003E2309">
              <w:t xml:space="preserve">little or no impact’ </w:t>
            </w:r>
            <w:r>
              <w:t xml:space="preserve">to energy suppliers if the migration from </w:t>
            </w:r>
            <w:proofErr w:type="spellStart"/>
            <w:r>
              <w:t>TCoS</w:t>
            </w:r>
            <w:proofErr w:type="spellEnd"/>
            <w:r>
              <w:t xml:space="preserve"> to </w:t>
            </w:r>
            <w:proofErr w:type="spellStart"/>
            <w:r>
              <w:t>ECoS</w:t>
            </w:r>
            <w:proofErr w:type="spellEnd"/>
            <w:r>
              <w:t xml:space="preserve"> results in issues. They considered that this appears to directly conflict with risk R15 which highlights the potential impacts to operational meter devices and therefore energy suppliers and energy consumers. On that basis, they considered that assumption A5 warrants further review and clarification and explanation of the appropriate mitigations.</w:t>
            </w:r>
          </w:p>
        </w:tc>
        <w:tc>
          <w:tcPr>
            <w:tcW w:w="3402" w:type="dxa"/>
          </w:tcPr>
          <w:p w14:paraId="24B1FC83" w14:textId="168D3CA9" w:rsidR="00B078BA" w:rsidRDefault="0072460E"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Thank you for the question. </w:t>
            </w:r>
            <w:r w:rsidR="007F1577">
              <w:t>To clarify</w:t>
            </w:r>
            <w:r>
              <w:t xml:space="preserve">, A5 states “Energy suppliers are not expected to be impacted by the migration from </w:t>
            </w:r>
            <w:proofErr w:type="spellStart"/>
            <w:r>
              <w:t>TCoS</w:t>
            </w:r>
            <w:proofErr w:type="spellEnd"/>
            <w:r>
              <w:t xml:space="preserve"> to </w:t>
            </w:r>
            <w:proofErr w:type="spellStart"/>
            <w:r>
              <w:t>ECoS</w:t>
            </w:r>
            <w:proofErr w:type="spellEnd"/>
            <w:r>
              <w:t xml:space="preserve"> 2”. A5 </w:t>
            </w:r>
            <w:r w:rsidR="00EE49ED">
              <w:t>was included</w:t>
            </w:r>
            <w:r>
              <w:t xml:space="preserve"> to protect and inform the Energy Suppliers as much as possible to reduce inherent risk during the migration to </w:t>
            </w:r>
            <w:proofErr w:type="spellStart"/>
            <w:r>
              <w:t>ECoS</w:t>
            </w:r>
            <w:proofErr w:type="spellEnd"/>
            <w:r>
              <w:t xml:space="preserve">. If a device has a </w:t>
            </w:r>
            <w:proofErr w:type="spellStart"/>
            <w:r>
              <w:t>TCoS</w:t>
            </w:r>
            <w:proofErr w:type="spellEnd"/>
            <w:r>
              <w:t xml:space="preserve"> certificate, </w:t>
            </w:r>
            <w:proofErr w:type="spellStart"/>
            <w:r>
              <w:t>CoS</w:t>
            </w:r>
            <w:proofErr w:type="spellEnd"/>
            <w:r>
              <w:t xml:space="preserve"> will be done using the </w:t>
            </w:r>
            <w:proofErr w:type="spellStart"/>
            <w:proofErr w:type="gramStart"/>
            <w:r>
              <w:t>TCoS</w:t>
            </w:r>
            <w:proofErr w:type="spellEnd"/>
            <w:r>
              <w:t xml:space="preserve">  system</w:t>
            </w:r>
            <w:proofErr w:type="gramEnd"/>
            <w:r>
              <w:t xml:space="preserve"> internal to DCC and invisible to DCC Users, and if a device has an </w:t>
            </w:r>
            <w:proofErr w:type="spellStart"/>
            <w:r>
              <w:t>ECoS</w:t>
            </w:r>
            <w:proofErr w:type="spellEnd"/>
            <w:r>
              <w:t xml:space="preserve"> certificate, supplier change will be executed by </w:t>
            </w:r>
            <w:proofErr w:type="spellStart"/>
            <w:r>
              <w:t>ECoS</w:t>
            </w:r>
            <w:proofErr w:type="spellEnd"/>
            <w:r>
              <w:t xml:space="preserve">, also invisible to the DCC User. R15 is highlighting the risk that if a device does not have an </w:t>
            </w:r>
            <w:proofErr w:type="spellStart"/>
            <w:r>
              <w:t>ECoS</w:t>
            </w:r>
            <w:proofErr w:type="spellEnd"/>
            <w:r>
              <w:t xml:space="preserve"> certificate and the </w:t>
            </w:r>
            <w:proofErr w:type="spellStart"/>
            <w:r>
              <w:t>TCoS</w:t>
            </w:r>
            <w:proofErr w:type="spellEnd"/>
            <w:r>
              <w:t xml:space="preserve"> system is decommissioned, there will be no way to do a Change of Supplier (as the </w:t>
            </w:r>
            <w:proofErr w:type="spellStart"/>
            <w:r>
              <w:t>CoS</w:t>
            </w:r>
            <w:proofErr w:type="spellEnd"/>
            <w:r>
              <w:t xml:space="preserve"> will rely on </w:t>
            </w:r>
            <w:proofErr w:type="spellStart"/>
            <w:r>
              <w:t>ECoS</w:t>
            </w:r>
            <w:proofErr w:type="spellEnd"/>
            <w:r>
              <w:t xml:space="preserve"> certificates being on the devices). We hope that the additional statement “The </w:t>
            </w:r>
            <w:proofErr w:type="spellStart"/>
            <w:r>
              <w:t>ECoS</w:t>
            </w:r>
            <w:proofErr w:type="spellEnd"/>
            <w:r>
              <w:t xml:space="preserve"> programme will work with Device Management and TSP to ensure compatibility</w:t>
            </w:r>
            <w:r w:rsidR="007F5261">
              <w:t>” provides some reassurance.</w:t>
            </w:r>
          </w:p>
        </w:tc>
      </w:tr>
      <w:tr w:rsidR="00B078BA" w14:paraId="623A2A65"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7E3F8EF2" w14:textId="5D246868" w:rsidR="00B078BA" w:rsidRDefault="00D80C80" w:rsidP="00256775">
            <w:pPr>
              <w:pStyle w:val="TableText-Left"/>
              <w:spacing w:before="0"/>
            </w:pPr>
            <w:r>
              <w:t xml:space="preserve">Assumption </w:t>
            </w:r>
            <w:r w:rsidR="004E77C0">
              <w:t>–</w:t>
            </w:r>
            <w:r>
              <w:t xml:space="preserve"> Aggregate</w:t>
            </w:r>
            <w:r w:rsidR="004E77C0">
              <w:t xml:space="preserve"> </w:t>
            </w:r>
            <w:proofErr w:type="spellStart"/>
            <w:r w:rsidR="004E77C0">
              <w:t>Anamoly</w:t>
            </w:r>
            <w:proofErr w:type="spellEnd"/>
            <w:r w:rsidR="004E77C0">
              <w:t xml:space="preserve"> Detection thresholds for </w:t>
            </w:r>
            <w:proofErr w:type="spellStart"/>
            <w:r w:rsidR="004E77C0">
              <w:t>CoS</w:t>
            </w:r>
            <w:proofErr w:type="spellEnd"/>
            <w:r w:rsidR="004E77C0">
              <w:t xml:space="preserve"> events</w:t>
            </w:r>
          </w:p>
        </w:tc>
        <w:tc>
          <w:tcPr>
            <w:tcW w:w="4253" w:type="dxa"/>
          </w:tcPr>
          <w:p w14:paraId="675BDE29" w14:textId="50DA7C6F" w:rsidR="00B078BA" w:rsidRPr="00894E08" w:rsidRDefault="0018281E" w:rsidP="00256775">
            <w:pPr>
              <w:spacing w:before="0"/>
              <w:cnfStyle w:val="000000000000" w:firstRow="0" w:lastRow="0" w:firstColumn="0" w:lastColumn="0" w:oddVBand="0" w:evenVBand="0" w:oddHBand="0" w:evenHBand="0" w:firstRowFirstColumn="0" w:firstRowLastColumn="0" w:lastRowFirstColumn="0" w:lastRowLastColumn="0"/>
            </w:pPr>
            <w:r>
              <w:t xml:space="preserve">One responder commented that Assumption A6 states that there will be </w:t>
            </w:r>
            <w:r w:rsidRPr="003E2309">
              <w:t xml:space="preserve">‘no impact’ </w:t>
            </w:r>
            <w:r>
              <w:t xml:space="preserve">if the definition of Aggregate Anomaly Detection Thresholds is incorrectly delivered by the DCC. Given the volume of events that the </w:t>
            </w:r>
            <w:proofErr w:type="spellStart"/>
            <w:r>
              <w:t>ECoS</w:t>
            </w:r>
            <w:proofErr w:type="spellEnd"/>
            <w:r>
              <w:t xml:space="preserve"> service will support, the incorrect definition and application of Anomaly Detection Thresholds Attributes would be visible outside the DCC. Conceivably such a situation would impact switching requests initiated by energy consumers, and therefore be visible to other parties. This respondent consider that assumptions warrants further review and clarification by the DCC.</w:t>
            </w:r>
          </w:p>
        </w:tc>
        <w:tc>
          <w:tcPr>
            <w:tcW w:w="3402" w:type="dxa"/>
          </w:tcPr>
          <w:p w14:paraId="4A66BBA9" w14:textId="28B9E848" w:rsidR="00B078BA" w:rsidRDefault="007F5261"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It is true that if ADTs were incorrectly applied they would have an impact, however A6 is listed as an assumption i.e. “Aggregate </w:t>
            </w:r>
            <w:proofErr w:type="spellStart"/>
            <w:r>
              <w:t>Anomoly</w:t>
            </w:r>
            <w:proofErr w:type="spellEnd"/>
            <w:r>
              <w:t xml:space="preserve"> Detection Thresholds for </w:t>
            </w:r>
            <w:proofErr w:type="spellStart"/>
            <w:r>
              <w:t>CoS</w:t>
            </w:r>
            <w:proofErr w:type="spellEnd"/>
            <w:r>
              <w:t xml:space="preserve"> Events and Change of </w:t>
            </w:r>
            <w:proofErr w:type="spellStart"/>
            <w:r>
              <w:t>CoS</w:t>
            </w:r>
            <w:proofErr w:type="spellEnd"/>
            <w:r>
              <w:t xml:space="preserve"> Party to be defined by DCC and agreed by SSC”, and is not a reference to aggregate ADT’s being incorrectly delivered. DCC would not be</w:t>
            </w:r>
            <w:r w:rsidR="003F689B">
              <w:t xml:space="preserve"> able to</w:t>
            </w:r>
            <w:r>
              <w:t xml:space="preserve"> publicly shar</w:t>
            </w:r>
            <w:r w:rsidR="003F689B">
              <w:t>e</w:t>
            </w:r>
            <w:r>
              <w:t xml:space="preserve"> any information unless it has explicit authorisation to do so.</w:t>
            </w:r>
          </w:p>
        </w:tc>
      </w:tr>
      <w:tr w:rsidR="009860F4" w14:paraId="1BDD531F" w14:textId="77777777" w:rsidTr="000D6D5F">
        <w:tc>
          <w:tcPr>
            <w:cnfStyle w:val="001000000000" w:firstRow="0" w:lastRow="0" w:firstColumn="1" w:lastColumn="0" w:oddVBand="0" w:evenVBand="0" w:oddHBand="0" w:evenHBand="0" w:firstRowFirstColumn="0" w:firstRowLastColumn="0" w:lastRowFirstColumn="0" w:lastRowLastColumn="0"/>
            <w:tcW w:w="1833" w:type="dxa"/>
          </w:tcPr>
          <w:p w14:paraId="7A2472FE" w14:textId="45911DD4" w:rsidR="009860F4" w:rsidRDefault="00434CA4" w:rsidP="00256775">
            <w:pPr>
              <w:pStyle w:val="TableText-Left"/>
              <w:spacing w:before="0"/>
            </w:pPr>
            <w:r>
              <w:t xml:space="preserve">The </w:t>
            </w:r>
            <w:r w:rsidR="00EE49ED">
              <w:t>u</w:t>
            </w:r>
            <w:r>
              <w:t>s</w:t>
            </w:r>
            <w:r w:rsidR="00445644">
              <w:t>age of a shared test environment</w:t>
            </w:r>
          </w:p>
        </w:tc>
        <w:tc>
          <w:tcPr>
            <w:tcW w:w="4253" w:type="dxa"/>
          </w:tcPr>
          <w:p w14:paraId="635C7FA5" w14:textId="58A0EBBC" w:rsidR="009860F4" w:rsidRPr="00894E08" w:rsidRDefault="00445644" w:rsidP="00256775">
            <w:pPr>
              <w:spacing w:before="0"/>
              <w:cnfStyle w:val="000000000000" w:firstRow="0" w:lastRow="0" w:firstColumn="0" w:lastColumn="0" w:oddVBand="0" w:evenVBand="0" w:oddHBand="0" w:evenHBand="0" w:firstRowFirstColumn="0" w:firstRowLastColumn="0" w:lastRowFirstColumn="0" w:lastRowLastColumn="0"/>
            </w:pPr>
            <w:r>
              <w:t>One respondent welcomed the mitigation proposed in response to risk R8</w:t>
            </w:r>
            <w:r w:rsidR="003C5419">
              <w:t>, which relates to the risks arising as a result of using shared testing environments. They requested that an integrated</w:t>
            </w:r>
            <w:r w:rsidR="00255DDF">
              <w:t xml:space="preserve"> environments usage plan which considers </w:t>
            </w:r>
            <w:proofErr w:type="gramStart"/>
            <w:r w:rsidR="00255DDF">
              <w:t>all of</w:t>
            </w:r>
            <w:proofErr w:type="gramEnd"/>
            <w:r w:rsidR="00255DDF">
              <w:t xml:space="preserve"> DCC change activities is made available to the TAG and Parties and </w:t>
            </w:r>
            <w:r w:rsidR="000F6934">
              <w:t>on an ongoing basis.</w:t>
            </w:r>
          </w:p>
        </w:tc>
        <w:tc>
          <w:tcPr>
            <w:tcW w:w="3402" w:type="dxa"/>
          </w:tcPr>
          <w:p w14:paraId="6E99C311" w14:textId="526930CB" w:rsidR="009860F4" w:rsidRDefault="000F6934" w:rsidP="00256775">
            <w:pPr>
              <w:pStyle w:val="TableText-Left"/>
              <w:spacing w:before="0"/>
              <w:cnfStyle w:val="000000000000" w:firstRow="0" w:lastRow="0" w:firstColumn="0" w:lastColumn="0" w:oddVBand="0" w:evenVBand="0" w:oddHBand="0" w:evenHBand="0" w:firstRowFirstColumn="0" w:firstRowLastColumn="0" w:lastRowFirstColumn="0" w:lastRowLastColumn="0"/>
            </w:pPr>
            <w:r>
              <w:t xml:space="preserve">Noted. The environments plan has </w:t>
            </w:r>
            <w:r w:rsidR="004C7A03">
              <w:t>already been made available.</w:t>
            </w:r>
          </w:p>
        </w:tc>
      </w:tr>
    </w:tbl>
    <w:p w14:paraId="24B50A4C" w14:textId="77777777" w:rsidR="00A61C4A" w:rsidRPr="00A61C4A" w:rsidRDefault="00A61C4A" w:rsidP="00256775">
      <w:pPr>
        <w:pStyle w:val="BodyTextNormal"/>
        <w:spacing w:before="0"/>
      </w:pPr>
    </w:p>
    <w:p w14:paraId="6E20EE0B" w14:textId="77777777" w:rsidR="000D6D5F" w:rsidRDefault="000D6D5F">
      <w:pPr>
        <w:spacing w:before="0" w:after="0"/>
        <w:rPr>
          <w:rFonts w:ascii="Arial Bold" w:eastAsia="Times New Roman" w:hAnsi="Arial Bold" w:cs="Arial"/>
          <w:b/>
          <w:bCs/>
          <w:color w:val="1F144A" w:themeColor="text1"/>
          <w:kern w:val="32"/>
          <w:sz w:val="32"/>
          <w:szCs w:val="32"/>
        </w:rPr>
      </w:pPr>
      <w:r>
        <w:br w:type="page"/>
      </w:r>
    </w:p>
    <w:p w14:paraId="1F86B225" w14:textId="4C3A2818" w:rsidR="00A42562" w:rsidRDefault="00A839A7" w:rsidP="00256775">
      <w:pPr>
        <w:pStyle w:val="Heading1"/>
        <w:spacing w:before="120" w:after="240"/>
      </w:pPr>
      <w:bookmarkStart w:id="9" w:name="_Toc35273520"/>
      <w:r>
        <w:t>Conclusions</w:t>
      </w:r>
      <w:bookmarkEnd w:id="9"/>
    </w:p>
    <w:p w14:paraId="4EA12E14" w14:textId="53247708" w:rsidR="00AD4A43" w:rsidRDefault="00AD4A43" w:rsidP="00EF24A0">
      <w:pPr>
        <w:pStyle w:val="ParagraphNumbering"/>
        <w:numPr>
          <w:ilvl w:val="0"/>
          <w:numId w:val="0"/>
        </w:numPr>
        <w:tabs>
          <w:tab w:val="clear" w:pos="-1134"/>
        </w:tabs>
        <w:spacing w:before="0"/>
      </w:pPr>
      <w:r>
        <w:t xml:space="preserve">DCC is grateful for the responses received on the </w:t>
      </w:r>
      <w:proofErr w:type="spellStart"/>
      <w:r>
        <w:t>ECoS</w:t>
      </w:r>
      <w:proofErr w:type="spellEnd"/>
      <w:r>
        <w:t xml:space="preserve"> delivery plan consultation. Following review and consideration of these responses, DCC has incorporated stakeholder feedback into program</w:t>
      </w:r>
      <w:r w:rsidR="00C77B77">
        <w:t>me</w:t>
      </w:r>
      <w:r>
        <w:t xml:space="preserve"> and project plans. The final delivery plan now includes a new risk, R18 (</w:t>
      </w:r>
      <w:r w:rsidRPr="00EF24A0">
        <w:t xml:space="preserve">The migration of assets from </w:t>
      </w:r>
      <w:proofErr w:type="spellStart"/>
      <w:r w:rsidRPr="00EF24A0">
        <w:t>TCoS</w:t>
      </w:r>
      <w:proofErr w:type="spellEnd"/>
      <w:r w:rsidRPr="00EF24A0">
        <w:t xml:space="preserve"> to </w:t>
      </w:r>
      <w:proofErr w:type="spellStart"/>
      <w:r w:rsidRPr="00EF24A0">
        <w:t>ECoS</w:t>
      </w:r>
      <w:proofErr w:type="spellEnd"/>
      <w:r w:rsidRPr="00EF24A0">
        <w:t xml:space="preserve"> does not cover all DCC User devices</w:t>
      </w:r>
      <w:r>
        <w:t>).</w:t>
      </w:r>
    </w:p>
    <w:p w14:paraId="3B32A0C5" w14:textId="722E2998" w:rsidR="009E487D" w:rsidRDefault="009E487D" w:rsidP="00EF24A0">
      <w:pPr>
        <w:pStyle w:val="ParagraphNumbering"/>
        <w:numPr>
          <w:ilvl w:val="0"/>
          <w:numId w:val="0"/>
        </w:numPr>
        <w:tabs>
          <w:tab w:val="clear" w:pos="-1134"/>
        </w:tabs>
        <w:spacing w:before="0"/>
      </w:pPr>
      <w:r>
        <w:t xml:space="preserve">DCC’s approach to engagement is to be </w:t>
      </w:r>
      <w:proofErr w:type="spellStart"/>
      <w:r>
        <w:t>transaparent</w:t>
      </w:r>
      <w:proofErr w:type="spellEnd"/>
      <w:r>
        <w:t xml:space="preserve"> and communicate with its stakeholders over the course of the development and delivery of its programmes. DCC aims to work in step with its stakeholders to keep them informed of progress, and where appropriate seek input from stakeholders on how programmes develop.</w:t>
      </w:r>
    </w:p>
    <w:p w14:paraId="2849D8DC" w14:textId="5690E763" w:rsidR="00A839A7" w:rsidRDefault="009E487D" w:rsidP="00EF24A0">
      <w:pPr>
        <w:pStyle w:val="ParagraphNumbering"/>
        <w:numPr>
          <w:ilvl w:val="0"/>
          <w:numId w:val="0"/>
        </w:numPr>
        <w:tabs>
          <w:tab w:val="clear" w:pos="-1134"/>
        </w:tabs>
        <w:spacing w:before="0"/>
      </w:pPr>
      <w:r>
        <w:t xml:space="preserve">Due to the mandated nature of this programme, DCC will continue to incorporate feedback into the delivery of </w:t>
      </w:r>
      <w:proofErr w:type="spellStart"/>
      <w:r>
        <w:t>ECoS</w:t>
      </w:r>
      <w:proofErr w:type="spellEnd"/>
      <w:r w:rsidR="00AD4A43">
        <w:t>,</w:t>
      </w:r>
      <w:r>
        <w:t xml:space="preserve"> as and where appropriate. We will communicate to stakeholders where and how their feedback was used. Conversely, where feedback</w:t>
      </w:r>
      <w:r w:rsidR="00866814">
        <w:t xml:space="preserve"> </w:t>
      </w:r>
      <w:proofErr w:type="spellStart"/>
      <w:r w:rsidR="00866814">
        <w:t>can not</w:t>
      </w:r>
      <w:proofErr w:type="spellEnd"/>
      <w:r w:rsidR="00866814">
        <w:t xml:space="preserve"> be incorporated, DCC will demonstrate why it was not used.</w:t>
      </w:r>
    </w:p>
    <w:p w14:paraId="341145F1" w14:textId="57F1FB90" w:rsidR="00A839A7" w:rsidRDefault="00A839A7" w:rsidP="00256775">
      <w:pPr>
        <w:pStyle w:val="Heading1"/>
        <w:spacing w:before="120" w:after="240"/>
      </w:pPr>
      <w:bookmarkStart w:id="10" w:name="_Toc35273521"/>
      <w:r>
        <w:t>Next steps</w:t>
      </w:r>
      <w:bookmarkEnd w:id="10"/>
    </w:p>
    <w:p w14:paraId="794CAA7C" w14:textId="280F0D81" w:rsidR="00AD4A43" w:rsidRPr="00AD4A43" w:rsidRDefault="00AD4A43" w:rsidP="00EF24A0">
      <w:pPr>
        <w:pStyle w:val="ParagraphNumbering"/>
        <w:numPr>
          <w:ilvl w:val="0"/>
          <w:numId w:val="0"/>
        </w:numPr>
        <w:tabs>
          <w:tab w:val="clear" w:pos="-1134"/>
        </w:tabs>
        <w:spacing w:before="0"/>
      </w:pPr>
      <w:r>
        <w:t xml:space="preserve">DCC has published the final </w:t>
      </w:r>
      <w:r w:rsidR="0073328E">
        <w:t xml:space="preserve">version of the delivery plan on the </w:t>
      </w:r>
      <w:r w:rsidR="0073328E" w:rsidRPr="00EF24A0">
        <w:t>DCC website</w:t>
      </w:r>
      <w:r w:rsidR="0073328E">
        <w:t>.</w:t>
      </w:r>
    </w:p>
    <w:p w14:paraId="14C06981" w14:textId="77777777" w:rsidR="00AD4A43" w:rsidRDefault="00AD4A43" w:rsidP="00791675">
      <w:pPr>
        <w:spacing w:before="0" w:after="0"/>
      </w:pPr>
    </w:p>
    <w:sectPr w:rsidR="00AD4A43" w:rsidSect="00791675">
      <w:footerReference w:type="default" r:id="rId19"/>
      <w:pgSz w:w="11900" w:h="16840" w:code="9"/>
      <w:pgMar w:top="1922" w:right="1134" w:bottom="1440" w:left="1134"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60B2" w14:textId="77777777" w:rsidR="00A2526A" w:rsidRDefault="00A2526A" w:rsidP="00FA568E">
      <w:pPr>
        <w:spacing w:after="0"/>
      </w:pPr>
      <w:r>
        <w:separator/>
      </w:r>
    </w:p>
  </w:endnote>
  <w:endnote w:type="continuationSeparator" w:id="0">
    <w:p w14:paraId="6966ECFA" w14:textId="77777777" w:rsidR="00A2526A" w:rsidRDefault="00A2526A" w:rsidP="00FA5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dobe Caslon Pro">
    <w:altName w:val="Times New Roman"/>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D3F4" w14:textId="77777777" w:rsidR="001440C7" w:rsidRDefault="001440C7" w:rsidP="00961D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4F7B5" w14:textId="77777777" w:rsidR="001440C7" w:rsidRDefault="001440C7" w:rsidP="00FF4EC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CB0F" w14:textId="77777777" w:rsidR="001440C7" w:rsidRDefault="001440C7" w:rsidP="00FF4EC2">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43E541" w14:textId="77777777" w:rsidR="001440C7" w:rsidRDefault="001440C7" w:rsidP="00FF4EC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8C15" w14:textId="77777777" w:rsidR="001440C7" w:rsidRDefault="001440C7" w:rsidP="00FF4EC2">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000" w:type="pct"/>
      <w:tblBorders>
        <w:insideH w:val="none" w:sz="0" w:space="0" w:color="auto"/>
        <w:insideV w:val="none" w:sz="0" w:space="0" w:color="auto"/>
      </w:tblBorders>
      <w:tblLook w:val="0600" w:firstRow="0" w:lastRow="0" w:firstColumn="0" w:lastColumn="0" w:noHBand="1" w:noVBand="1"/>
    </w:tblPr>
    <w:tblGrid>
      <w:gridCol w:w="3210"/>
      <w:gridCol w:w="3211"/>
      <w:gridCol w:w="3211"/>
    </w:tblGrid>
    <w:tr w:rsidR="001440C7" w:rsidRPr="00BA081A" w14:paraId="7EA3E9C6" w14:textId="77777777" w:rsidTr="006A4E00">
      <w:trPr>
        <w:trHeight w:val="300"/>
      </w:trPr>
      <w:tc>
        <w:tcPr>
          <w:tcW w:w="1666" w:type="pct"/>
        </w:tcPr>
        <w:p w14:paraId="41573EBF" w14:textId="6264BE6E" w:rsidR="001440C7" w:rsidRDefault="001440C7" w:rsidP="00A50084">
          <w:pPr>
            <w:pStyle w:val="Footer"/>
            <w:rPr>
              <w:sz w:val="20"/>
              <w:szCs w:val="20"/>
            </w:rPr>
          </w:pPr>
        </w:p>
      </w:tc>
      <w:tc>
        <w:tcPr>
          <w:tcW w:w="1667" w:type="pct"/>
        </w:tcPr>
        <w:p w14:paraId="4B0F09F1" w14:textId="77777777" w:rsidR="001440C7" w:rsidRDefault="001440C7" w:rsidP="00560DF2">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p>
      </w:tc>
      <w:tc>
        <w:tcPr>
          <w:tcW w:w="1667" w:type="pct"/>
        </w:tcPr>
        <w:p w14:paraId="1AFD3340" w14:textId="77777777" w:rsidR="001440C7" w:rsidRPr="00BA081A" w:rsidRDefault="00A2526A" w:rsidP="00560DF2">
          <w:pPr>
            <w:pStyle w:val="Footer"/>
            <w:jc w:val="right"/>
            <w:rPr>
              <w:sz w:val="20"/>
              <w:szCs w:val="20"/>
            </w:rPr>
          </w:pPr>
          <w:sdt>
            <w:sdtPr>
              <w:rPr>
                <w:sz w:val="20"/>
                <w:szCs w:val="20"/>
              </w:rPr>
              <w:id w:val="539481018"/>
              <w:docPartObj>
                <w:docPartGallery w:val="Page Numbers (Top of Page)"/>
                <w:docPartUnique/>
              </w:docPartObj>
            </w:sdtPr>
            <w:sdtEndPr/>
            <w:sdtContent>
              <w:r w:rsidR="001440C7" w:rsidRPr="00BA081A">
                <w:rPr>
                  <w:sz w:val="20"/>
                  <w:szCs w:val="20"/>
                </w:rPr>
                <w:t xml:space="preserve">Page </w:t>
              </w:r>
              <w:r w:rsidR="001440C7" w:rsidRPr="00BA081A">
                <w:rPr>
                  <w:bCs/>
                  <w:sz w:val="20"/>
                  <w:szCs w:val="20"/>
                </w:rPr>
                <w:fldChar w:fldCharType="begin"/>
              </w:r>
              <w:r w:rsidR="001440C7" w:rsidRPr="00BA081A">
                <w:rPr>
                  <w:bCs/>
                  <w:sz w:val="20"/>
                  <w:szCs w:val="20"/>
                </w:rPr>
                <w:instrText xml:space="preserve"> PAGE </w:instrText>
              </w:r>
              <w:r w:rsidR="001440C7" w:rsidRPr="00BA081A">
                <w:rPr>
                  <w:bCs/>
                  <w:sz w:val="20"/>
                  <w:szCs w:val="20"/>
                </w:rPr>
                <w:fldChar w:fldCharType="separate"/>
              </w:r>
              <w:r w:rsidR="001440C7">
                <w:rPr>
                  <w:bCs/>
                  <w:noProof/>
                  <w:sz w:val="20"/>
                  <w:szCs w:val="20"/>
                </w:rPr>
                <w:t>2</w:t>
              </w:r>
              <w:r w:rsidR="001440C7" w:rsidRPr="00BA081A">
                <w:rPr>
                  <w:bCs/>
                  <w:sz w:val="20"/>
                  <w:szCs w:val="20"/>
                </w:rPr>
                <w:fldChar w:fldCharType="end"/>
              </w:r>
              <w:r w:rsidR="001440C7" w:rsidRPr="00BA081A">
                <w:rPr>
                  <w:sz w:val="20"/>
                  <w:szCs w:val="20"/>
                </w:rPr>
                <w:t xml:space="preserve"> of </w:t>
              </w:r>
              <w:r w:rsidR="001440C7" w:rsidRPr="00BA081A">
                <w:rPr>
                  <w:bCs/>
                  <w:sz w:val="20"/>
                  <w:szCs w:val="20"/>
                </w:rPr>
                <w:fldChar w:fldCharType="begin"/>
              </w:r>
              <w:r w:rsidR="001440C7" w:rsidRPr="00BA081A">
                <w:rPr>
                  <w:bCs/>
                  <w:sz w:val="20"/>
                  <w:szCs w:val="20"/>
                </w:rPr>
                <w:instrText xml:space="preserve"> NUMPAGES  </w:instrText>
              </w:r>
              <w:r w:rsidR="001440C7" w:rsidRPr="00BA081A">
                <w:rPr>
                  <w:bCs/>
                  <w:sz w:val="20"/>
                  <w:szCs w:val="20"/>
                </w:rPr>
                <w:fldChar w:fldCharType="separate"/>
              </w:r>
              <w:r w:rsidR="001440C7">
                <w:rPr>
                  <w:bCs/>
                  <w:noProof/>
                  <w:sz w:val="20"/>
                  <w:szCs w:val="20"/>
                </w:rPr>
                <w:t>9</w:t>
              </w:r>
              <w:r w:rsidR="001440C7" w:rsidRPr="00BA081A">
                <w:rPr>
                  <w:bCs/>
                  <w:sz w:val="20"/>
                  <w:szCs w:val="20"/>
                </w:rPr>
                <w:fldChar w:fldCharType="end"/>
              </w:r>
            </w:sdtContent>
          </w:sdt>
        </w:p>
      </w:tc>
    </w:tr>
  </w:tbl>
  <w:p w14:paraId="714C54BA" w14:textId="77777777" w:rsidR="001440C7" w:rsidRPr="00E538B7" w:rsidRDefault="001440C7" w:rsidP="00A76C49">
    <w:pPr>
      <w:pStyle w:val="Footer"/>
      <w:jc w:val="both"/>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000" w:type="pct"/>
      <w:tblBorders>
        <w:insideH w:val="none" w:sz="0" w:space="0" w:color="auto"/>
        <w:insideV w:val="none" w:sz="0" w:space="0" w:color="auto"/>
      </w:tblBorders>
      <w:tblLook w:val="0600" w:firstRow="0" w:lastRow="0" w:firstColumn="0" w:lastColumn="0" w:noHBand="1" w:noVBand="1"/>
    </w:tblPr>
    <w:tblGrid>
      <w:gridCol w:w="3212"/>
      <w:gridCol w:w="3211"/>
      <w:gridCol w:w="3209"/>
    </w:tblGrid>
    <w:tr w:rsidR="001440C7" w:rsidRPr="00F8524C" w14:paraId="3A3DCF9B" w14:textId="77777777" w:rsidTr="005F5EC8">
      <w:tc>
        <w:tcPr>
          <w:tcW w:w="1667" w:type="pct"/>
        </w:tcPr>
        <w:p w14:paraId="269FCFA0" w14:textId="1565929D" w:rsidR="001440C7" w:rsidRDefault="001440C7" w:rsidP="00560DF2">
          <w:pPr>
            <w:pStyle w:val="Footer"/>
            <w:jc w:val="both"/>
            <w:rPr>
              <w:sz w:val="20"/>
              <w:szCs w:val="20"/>
            </w:rPr>
          </w:pPr>
        </w:p>
      </w:tc>
      <w:tc>
        <w:tcPr>
          <w:tcW w:w="1667" w:type="pct"/>
        </w:tcPr>
        <w:p w14:paraId="5BECEBB0" w14:textId="77777777" w:rsidR="001440C7" w:rsidRDefault="001440C7" w:rsidP="00560DF2">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p>
      </w:tc>
      <w:tc>
        <w:tcPr>
          <w:tcW w:w="1666" w:type="pct"/>
        </w:tcPr>
        <w:p w14:paraId="2B1AB27B" w14:textId="77777777" w:rsidR="001440C7" w:rsidRPr="00F8524C" w:rsidRDefault="00A2526A" w:rsidP="00560DF2">
          <w:pPr>
            <w:pStyle w:val="Footer"/>
            <w:jc w:val="right"/>
            <w:rPr>
              <w:sz w:val="20"/>
              <w:szCs w:val="20"/>
            </w:rPr>
          </w:pPr>
          <w:sdt>
            <w:sdtPr>
              <w:rPr>
                <w:sz w:val="20"/>
                <w:szCs w:val="20"/>
              </w:rPr>
              <w:id w:val="-2005498947"/>
              <w:docPartObj>
                <w:docPartGallery w:val="Page Numbers (Top of Page)"/>
                <w:docPartUnique/>
              </w:docPartObj>
            </w:sdtPr>
            <w:sdtEndPr/>
            <w:sdtContent>
              <w:r w:rsidR="001440C7" w:rsidRPr="00F8524C">
                <w:rPr>
                  <w:sz w:val="20"/>
                  <w:szCs w:val="20"/>
                </w:rPr>
                <w:t xml:space="preserve">Page </w:t>
              </w:r>
              <w:r w:rsidR="001440C7" w:rsidRPr="00F8524C">
                <w:rPr>
                  <w:bCs/>
                  <w:sz w:val="20"/>
                  <w:szCs w:val="20"/>
                </w:rPr>
                <w:fldChar w:fldCharType="begin"/>
              </w:r>
              <w:r w:rsidR="001440C7" w:rsidRPr="00F8524C">
                <w:rPr>
                  <w:bCs/>
                  <w:sz w:val="20"/>
                  <w:szCs w:val="20"/>
                </w:rPr>
                <w:instrText xml:space="preserve"> PAGE </w:instrText>
              </w:r>
              <w:r w:rsidR="001440C7" w:rsidRPr="00F8524C">
                <w:rPr>
                  <w:bCs/>
                  <w:sz w:val="20"/>
                  <w:szCs w:val="20"/>
                </w:rPr>
                <w:fldChar w:fldCharType="separate"/>
              </w:r>
              <w:r w:rsidR="001440C7">
                <w:rPr>
                  <w:bCs/>
                  <w:noProof/>
                  <w:sz w:val="20"/>
                  <w:szCs w:val="20"/>
                </w:rPr>
                <w:t>9</w:t>
              </w:r>
              <w:r w:rsidR="001440C7" w:rsidRPr="00F8524C">
                <w:rPr>
                  <w:bCs/>
                  <w:sz w:val="20"/>
                  <w:szCs w:val="20"/>
                </w:rPr>
                <w:fldChar w:fldCharType="end"/>
              </w:r>
              <w:r w:rsidR="001440C7" w:rsidRPr="00F8524C">
                <w:rPr>
                  <w:sz w:val="20"/>
                  <w:szCs w:val="20"/>
                </w:rPr>
                <w:t xml:space="preserve"> of </w:t>
              </w:r>
              <w:r w:rsidR="001440C7" w:rsidRPr="00F8524C">
                <w:rPr>
                  <w:bCs/>
                  <w:sz w:val="20"/>
                  <w:szCs w:val="20"/>
                </w:rPr>
                <w:fldChar w:fldCharType="begin"/>
              </w:r>
              <w:r w:rsidR="001440C7" w:rsidRPr="00F8524C">
                <w:rPr>
                  <w:bCs/>
                  <w:sz w:val="20"/>
                  <w:szCs w:val="20"/>
                </w:rPr>
                <w:instrText xml:space="preserve"> NUMPAGES  </w:instrText>
              </w:r>
              <w:r w:rsidR="001440C7" w:rsidRPr="00F8524C">
                <w:rPr>
                  <w:bCs/>
                  <w:sz w:val="20"/>
                  <w:szCs w:val="20"/>
                </w:rPr>
                <w:fldChar w:fldCharType="separate"/>
              </w:r>
              <w:r w:rsidR="001440C7">
                <w:rPr>
                  <w:bCs/>
                  <w:noProof/>
                  <w:sz w:val="20"/>
                  <w:szCs w:val="20"/>
                </w:rPr>
                <w:t>9</w:t>
              </w:r>
              <w:r w:rsidR="001440C7" w:rsidRPr="00F8524C">
                <w:rPr>
                  <w:bCs/>
                  <w:sz w:val="20"/>
                  <w:szCs w:val="20"/>
                </w:rPr>
                <w:fldChar w:fldCharType="end"/>
              </w:r>
            </w:sdtContent>
          </w:sdt>
        </w:p>
      </w:tc>
    </w:tr>
  </w:tbl>
  <w:p w14:paraId="70524C9D" w14:textId="77777777" w:rsidR="001440C7" w:rsidRPr="00B83C3C" w:rsidRDefault="001440C7" w:rsidP="00456349">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0F949" w14:textId="77777777" w:rsidR="00A2526A" w:rsidRDefault="00A2526A" w:rsidP="00FA568E">
      <w:pPr>
        <w:spacing w:after="0"/>
      </w:pPr>
      <w:r>
        <w:separator/>
      </w:r>
    </w:p>
  </w:footnote>
  <w:footnote w:type="continuationSeparator" w:id="0">
    <w:p w14:paraId="6EF8FB9E" w14:textId="77777777" w:rsidR="00A2526A" w:rsidRDefault="00A2526A" w:rsidP="00FA56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DE1C" w14:textId="77777777" w:rsidR="001440C7" w:rsidRDefault="001440C7" w:rsidP="00796E0C">
    <w:pPr>
      <w:ind w:hanging="1134"/>
    </w:pPr>
  </w:p>
  <w:p w14:paraId="36ED9829" w14:textId="77777777" w:rsidR="001440C7" w:rsidRDefault="001440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900F" w14:textId="77777777" w:rsidR="001440C7" w:rsidRDefault="001440C7" w:rsidP="00796E0C">
    <w:r>
      <w:rPr>
        <w:noProof/>
        <w:lang w:eastAsia="en-GB"/>
      </w:rPr>
      <w:drawing>
        <wp:anchor distT="0" distB="0" distL="114300" distR="114300" simplePos="0" relativeHeight="251653632" behindDoc="1" locked="0" layoutInCell="1" allowOverlap="1" wp14:anchorId="2C760E04" wp14:editId="4804828C">
          <wp:simplePos x="0" y="0"/>
          <wp:positionH relativeFrom="column">
            <wp:posOffset>-375110</wp:posOffset>
          </wp:positionH>
          <wp:positionV relativeFrom="paragraph">
            <wp:posOffset>260531</wp:posOffset>
          </wp:positionV>
          <wp:extent cx="1919889" cy="608965"/>
          <wp:effectExtent l="0" t="0" r="444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20A7820" w14:textId="77777777" w:rsidR="001440C7" w:rsidRDefault="001440C7" w:rsidP="00796E0C">
    <w:pPr>
      <w:ind w:hanging="1134"/>
    </w:pPr>
  </w:p>
  <w:p w14:paraId="06AF3407" w14:textId="77777777" w:rsidR="001440C7" w:rsidRPr="00796E0C" w:rsidRDefault="001440C7" w:rsidP="00796E0C">
    <w:r>
      <w:rPr>
        <w:noProof/>
        <w:lang w:eastAsia="en-GB"/>
      </w:rPr>
      <mc:AlternateContent>
        <mc:Choice Requires="wps">
          <w:drawing>
            <wp:anchor distT="0" distB="0" distL="114300" distR="114300" simplePos="0" relativeHeight="251654656" behindDoc="1" locked="0" layoutInCell="1" allowOverlap="1" wp14:anchorId="70111F8E" wp14:editId="5BF47D99">
              <wp:simplePos x="0" y="0"/>
              <wp:positionH relativeFrom="column">
                <wp:posOffset>-393519</wp:posOffset>
              </wp:positionH>
              <wp:positionV relativeFrom="paragraph">
                <wp:posOffset>249101</wp:posOffset>
              </wp:positionV>
              <wp:extent cx="15798893" cy="0"/>
              <wp:effectExtent l="0" t="0" r="12700" b="19050"/>
              <wp:wrapNone/>
              <wp:docPr id="12" name="Straight Connector 12"/>
              <wp:cNvGraphicFramePr/>
              <a:graphic xmlns:a="http://schemas.openxmlformats.org/drawingml/2006/main">
                <a:graphicData uri="http://schemas.microsoft.com/office/word/2010/wordprocessingShape">
                  <wps:wsp>
                    <wps:cNvCnPr/>
                    <wps:spPr bwMode="auto">
                      <a:xfrm>
                        <a:off x="0" y="0"/>
                        <a:ext cx="15798893"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5E32C" id="Straight Connector 1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1pt,19.6pt" to="121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" strokecolor="#5c2071 [3204]" strokeweight="1pt"/>
          </w:pict>
        </mc:Fallback>
      </mc:AlternateContent>
    </w:r>
    <w:r>
      <w:rPr>
        <w:noProof/>
        <w:lang w:eastAsia="en-GB"/>
      </w:rPr>
      <w:drawing>
        <wp:anchor distT="0" distB="0" distL="114300" distR="114300" simplePos="0" relativeHeight="251655680" behindDoc="1" locked="0" layoutInCell="1" allowOverlap="1" wp14:anchorId="4D834FE4" wp14:editId="419CBA97">
          <wp:simplePos x="0" y="0"/>
          <wp:positionH relativeFrom="column">
            <wp:posOffset>-1932750</wp:posOffset>
          </wp:positionH>
          <wp:positionV relativeFrom="paragraph">
            <wp:posOffset>4187190</wp:posOffset>
          </wp:positionV>
          <wp:extent cx="5270500" cy="5393690"/>
          <wp:effectExtent l="0" t="0" r="6350" b="0"/>
          <wp:wrapNone/>
          <wp:docPr id="1" name="Picture 1"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RR Studio Data 2:Clients 2:DCC:2015:15101 DCC Powerpoint and Word Templates Revisions:Version 3:front-icon.png"/>
                  <pic:cNvPicPr>
                    <a:picLocks noChangeAspect="1" noChangeArrowheads="1"/>
                  </pic:cNvPicPr>
                </pic:nvPicPr>
                <pic:blipFill>
                  <a:blip r:embed="rId2">
                    <a:alphaModFix amt="31000"/>
                    <a:extLst>
                      <a:ext uri="{28A0092B-C50C-407E-A947-70E740481C1C}">
                        <a14:useLocalDpi xmlns:a14="http://schemas.microsoft.com/office/drawing/2010/main" val="0"/>
                      </a:ext>
                    </a:extLst>
                  </a:blip>
                  <a:srcRect/>
                  <a:stretch>
                    <a:fillRect/>
                  </a:stretch>
                </pic:blipFill>
                <pic:spPr bwMode="auto">
                  <a:xfrm>
                    <a:off x="0" y="0"/>
                    <a:ext cx="5270500" cy="5393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5D5B" w14:textId="77777777" w:rsidR="001440C7" w:rsidRDefault="001440C7" w:rsidP="008F5A2C">
    <w:r>
      <w:rPr>
        <w:noProof/>
        <w:lang w:eastAsia="en-GB"/>
      </w:rPr>
      <w:drawing>
        <wp:anchor distT="0" distB="0" distL="114300" distR="114300" simplePos="0" relativeHeight="251659776" behindDoc="0" locked="0" layoutInCell="1" allowOverlap="1" wp14:anchorId="34AF07C0" wp14:editId="39C922DF">
          <wp:simplePos x="0" y="0"/>
          <wp:positionH relativeFrom="column">
            <wp:posOffset>-148206</wp:posOffset>
          </wp:positionH>
          <wp:positionV relativeFrom="paragraph">
            <wp:posOffset>12700</wp:posOffset>
          </wp:positionV>
          <wp:extent cx="1918344" cy="608475"/>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8344" cy="608475"/>
                  </a:xfrm>
                  <a:prstGeom prst="rect">
                    <a:avLst/>
                  </a:prstGeom>
                  <a:no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1A48520A" w14:textId="77777777" w:rsidR="001440C7" w:rsidRDefault="001440C7" w:rsidP="000F62BD">
    <w:r>
      <w:rPr>
        <w:noProof/>
        <w:lang w:eastAsia="en-GB"/>
      </w:rPr>
      <mc:AlternateContent>
        <mc:Choice Requires="wps">
          <w:drawing>
            <wp:anchor distT="0" distB="0" distL="114300" distR="114300" simplePos="0" relativeHeight="251658752" behindDoc="0" locked="0" layoutInCell="1" allowOverlap="1" wp14:anchorId="744BA1D8" wp14:editId="148CDDB2">
              <wp:simplePos x="0" y="0"/>
              <wp:positionH relativeFrom="column">
                <wp:posOffset>-311876</wp:posOffset>
              </wp:positionH>
              <wp:positionV relativeFrom="paragraph">
                <wp:posOffset>310515</wp:posOffset>
              </wp:positionV>
              <wp:extent cx="15087600" cy="0"/>
              <wp:effectExtent l="0" t="0" r="19050" b="19050"/>
              <wp:wrapNone/>
              <wp:docPr id="7" name="Straight Connector 7"/>
              <wp:cNvGraphicFramePr/>
              <a:graphic xmlns:a="http://schemas.openxmlformats.org/drawingml/2006/main">
                <a:graphicData uri="http://schemas.microsoft.com/office/word/2010/wordprocessingShape">
                  <wps:wsp>
                    <wps:cNvCnPr/>
                    <wps:spPr bwMode="auto">
                      <a:xfrm>
                        <a:off x="0" y="0"/>
                        <a:ext cx="150876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F99B9"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55pt,24.45pt" to="1163.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" strokecolor="#5c2071 [3204]"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1545" w14:textId="77777777" w:rsidR="001440C7" w:rsidRDefault="00144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23260C3"/>
    <w:multiLevelType w:val="hybridMultilevel"/>
    <w:tmpl w:val="C91E00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6" w15:restartNumberingAfterBreak="0">
    <w:nsid w:val="27CF6309"/>
    <w:multiLevelType w:val="multilevel"/>
    <w:tmpl w:val="86A0508E"/>
    <w:lvl w:ilvl="0">
      <w:start w:val="1"/>
      <w:numFmt w:val="decimal"/>
      <w:pStyle w:val="ListNumber"/>
      <w:lvlText w:val="%1."/>
      <w:lvlJc w:val="left"/>
      <w:pPr>
        <w:tabs>
          <w:tab w:val="num" w:pos="510"/>
        </w:tabs>
        <w:ind w:left="851" w:hanging="851"/>
      </w:pPr>
      <w:rPr>
        <w:rFonts w:hint="default"/>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680"/>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7"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8A67A2"/>
    <w:multiLevelType w:val="multilevel"/>
    <w:tmpl w:val="B030B05E"/>
    <w:lvl w:ilvl="0">
      <w:start w:val="1"/>
      <w:numFmt w:val="decimal"/>
      <w:pStyle w:val="ParagraphNumbering"/>
      <w:lvlText w:val="%1."/>
      <w:lvlJc w:val="left"/>
      <w:pPr>
        <w:tabs>
          <w:tab w:val="num" w:pos="0"/>
        </w:tabs>
        <w:ind w:left="0" w:hanging="567"/>
      </w:pPr>
      <w:rPr>
        <w:rFonts w:hint="default"/>
        <w:b/>
        <w:bCs/>
        <w:i w:val="0"/>
        <w:iCs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8D3268"/>
    <w:multiLevelType w:val="multilevel"/>
    <w:tmpl w:val="BB6CBF26"/>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1"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EA53E1"/>
    <w:multiLevelType w:val="hybridMultilevel"/>
    <w:tmpl w:val="2528F9EE"/>
    <w:lvl w:ilvl="0" w:tplc="EDC08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16"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17" w15:restartNumberingAfterBreak="0">
    <w:nsid w:val="67323EF9"/>
    <w:multiLevelType w:val="multilevel"/>
    <w:tmpl w:val="D546971A"/>
    <w:lvl w:ilvl="0">
      <w:start w:val="1"/>
      <w:numFmt w:val="decimal"/>
      <w:pStyle w:val="MOTLevel1NumberedParagraph"/>
      <w:lvlText w:val="%1."/>
      <w:lvlJc w:val="left"/>
      <w:pPr>
        <w:tabs>
          <w:tab w:val="num" w:pos="709"/>
        </w:tabs>
        <w:ind w:left="709" w:hanging="709"/>
      </w:pPr>
      <w:rPr>
        <w:rFonts w:ascii="Arial" w:hAnsi="Arial" w:hint="default"/>
        <w:b w:val="0"/>
        <w:bCs w:val="0"/>
        <w:sz w:val="22"/>
      </w:rPr>
    </w:lvl>
    <w:lvl w:ilvl="1">
      <w:start w:val="1"/>
      <w:numFmt w:val="decimal"/>
      <w:pStyle w:val="MOTLevel2NumberedParagraph"/>
      <w:lvlText w:val="%1.%2."/>
      <w:lvlJc w:val="left"/>
      <w:pPr>
        <w:tabs>
          <w:tab w:val="num" w:pos="1418"/>
        </w:tabs>
        <w:ind w:left="1418" w:hanging="709"/>
      </w:pPr>
      <w:rPr>
        <w:rFonts w:hint="default"/>
      </w:rPr>
    </w:lvl>
    <w:lvl w:ilvl="2">
      <w:start w:val="1"/>
      <w:numFmt w:val="decimal"/>
      <w:pStyle w:val="MOTLevel3NumberedParagraph"/>
      <w:lvlText w:val="%1.%2.%3."/>
      <w:lvlJc w:val="left"/>
      <w:pPr>
        <w:tabs>
          <w:tab w:val="num" w:pos="2126"/>
        </w:tabs>
        <w:ind w:left="2126" w:hanging="708"/>
      </w:pPr>
      <w:rPr>
        <w:rFonts w:hint="default"/>
      </w:rPr>
    </w:lvl>
    <w:lvl w:ilvl="3">
      <w:start w:val="1"/>
      <w:numFmt w:val="lowerLetter"/>
      <w:pStyle w:val="MOTLevel4NumberedParagraph"/>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F445CAF"/>
    <w:multiLevelType w:val="hybridMultilevel"/>
    <w:tmpl w:val="72E4F65A"/>
    <w:lvl w:ilvl="0" w:tplc="302C6E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5"/>
  </w:num>
  <w:num w:numId="5">
    <w:abstractNumId w:val="16"/>
  </w:num>
  <w:num w:numId="6">
    <w:abstractNumId w:val="8"/>
  </w:num>
  <w:num w:numId="7">
    <w:abstractNumId w:val="5"/>
  </w:num>
  <w:num w:numId="8">
    <w:abstractNumId w:val="6"/>
  </w:num>
  <w:num w:numId="9">
    <w:abstractNumId w:val="4"/>
  </w:num>
  <w:num w:numId="10">
    <w:abstractNumId w:val="7"/>
  </w:num>
  <w:num w:numId="11">
    <w:abstractNumId w:val="9"/>
  </w:num>
  <w:num w:numId="12">
    <w:abstractNumId w:val="10"/>
  </w:num>
  <w:num w:numId="13">
    <w:abstractNumId w:val="19"/>
  </w:num>
  <w:num w:numId="14">
    <w:abstractNumId w:val="1"/>
  </w:num>
  <w:num w:numId="15">
    <w:abstractNumId w:val="14"/>
  </w:num>
  <w:num w:numId="16">
    <w:abstractNumId w:val="12"/>
  </w:num>
  <w:num w:numId="17">
    <w:abstractNumId w:val="17"/>
  </w:num>
  <w:num w:numId="18">
    <w:abstractNumId w:val="3"/>
  </w:num>
  <w:num w:numId="19">
    <w:abstractNumId w:val="13"/>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0"/>
    <w:rsid w:val="00012015"/>
    <w:rsid w:val="00017238"/>
    <w:rsid w:val="00022890"/>
    <w:rsid w:val="00025923"/>
    <w:rsid w:val="00040EC8"/>
    <w:rsid w:val="00043637"/>
    <w:rsid w:val="00051419"/>
    <w:rsid w:val="00060EA0"/>
    <w:rsid w:val="00067235"/>
    <w:rsid w:val="00076478"/>
    <w:rsid w:val="00084E94"/>
    <w:rsid w:val="0008735D"/>
    <w:rsid w:val="00091627"/>
    <w:rsid w:val="000A3E86"/>
    <w:rsid w:val="000A6A94"/>
    <w:rsid w:val="000B06FE"/>
    <w:rsid w:val="000C1750"/>
    <w:rsid w:val="000C35CE"/>
    <w:rsid w:val="000C65F4"/>
    <w:rsid w:val="000C7243"/>
    <w:rsid w:val="000D6D5F"/>
    <w:rsid w:val="000F0411"/>
    <w:rsid w:val="000F49A2"/>
    <w:rsid w:val="000F5175"/>
    <w:rsid w:val="000F62BD"/>
    <w:rsid w:val="000F6934"/>
    <w:rsid w:val="000F78B1"/>
    <w:rsid w:val="00105E01"/>
    <w:rsid w:val="001106F5"/>
    <w:rsid w:val="001148E9"/>
    <w:rsid w:val="001166AE"/>
    <w:rsid w:val="001267C5"/>
    <w:rsid w:val="0013164C"/>
    <w:rsid w:val="00132087"/>
    <w:rsid w:val="00132C77"/>
    <w:rsid w:val="00136466"/>
    <w:rsid w:val="001440C7"/>
    <w:rsid w:val="0015507A"/>
    <w:rsid w:val="001567AC"/>
    <w:rsid w:val="00164E96"/>
    <w:rsid w:val="001676AB"/>
    <w:rsid w:val="00180A0D"/>
    <w:rsid w:val="00180CD8"/>
    <w:rsid w:val="0018281E"/>
    <w:rsid w:val="001848AA"/>
    <w:rsid w:val="00185DAE"/>
    <w:rsid w:val="0019239E"/>
    <w:rsid w:val="00192AB9"/>
    <w:rsid w:val="00195A5F"/>
    <w:rsid w:val="0019673C"/>
    <w:rsid w:val="00197DCA"/>
    <w:rsid w:val="00197FB7"/>
    <w:rsid w:val="001A3717"/>
    <w:rsid w:val="001C1112"/>
    <w:rsid w:val="001C1CFC"/>
    <w:rsid w:val="001C59EA"/>
    <w:rsid w:val="001D4ED2"/>
    <w:rsid w:val="001E2153"/>
    <w:rsid w:val="001E5E83"/>
    <w:rsid w:val="001F05D0"/>
    <w:rsid w:val="001F08BD"/>
    <w:rsid w:val="001F0B2F"/>
    <w:rsid w:val="001F4AAC"/>
    <w:rsid w:val="001F5CE8"/>
    <w:rsid w:val="001F5F4E"/>
    <w:rsid w:val="002010E0"/>
    <w:rsid w:val="002023F9"/>
    <w:rsid w:val="00213EEE"/>
    <w:rsid w:val="00214E3D"/>
    <w:rsid w:val="002212D2"/>
    <w:rsid w:val="002224CB"/>
    <w:rsid w:val="0022370A"/>
    <w:rsid w:val="00236AAE"/>
    <w:rsid w:val="002376DB"/>
    <w:rsid w:val="00244A79"/>
    <w:rsid w:val="00246F0C"/>
    <w:rsid w:val="0025074F"/>
    <w:rsid w:val="002507AA"/>
    <w:rsid w:val="00251828"/>
    <w:rsid w:val="00255DDF"/>
    <w:rsid w:val="00256775"/>
    <w:rsid w:val="0026545A"/>
    <w:rsid w:val="00265ADF"/>
    <w:rsid w:val="0027118E"/>
    <w:rsid w:val="00282A5F"/>
    <w:rsid w:val="00285B51"/>
    <w:rsid w:val="00286CF5"/>
    <w:rsid w:val="00295B85"/>
    <w:rsid w:val="002A05BD"/>
    <w:rsid w:val="002A3CF4"/>
    <w:rsid w:val="002A56A4"/>
    <w:rsid w:val="002C4C22"/>
    <w:rsid w:val="002D0BA7"/>
    <w:rsid w:val="002D7F1A"/>
    <w:rsid w:val="002E376A"/>
    <w:rsid w:val="002E3989"/>
    <w:rsid w:val="002F208B"/>
    <w:rsid w:val="0030176F"/>
    <w:rsid w:val="003049F9"/>
    <w:rsid w:val="003113AE"/>
    <w:rsid w:val="003157AB"/>
    <w:rsid w:val="003245A7"/>
    <w:rsid w:val="00330219"/>
    <w:rsid w:val="003337D9"/>
    <w:rsid w:val="003349D8"/>
    <w:rsid w:val="00344653"/>
    <w:rsid w:val="00347A8F"/>
    <w:rsid w:val="0035170E"/>
    <w:rsid w:val="00353BBE"/>
    <w:rsid w:val="003565FA"/>
    <w:rsid w:val="003568B8"/>
    <w:rsid w:val="003578AF"/>
    <w:rsid w:val="00360B1C"/>
    <w:rsid w:val="00375A8D"/>
    <w:rsid w:val="00385990"/>
    <w:rsid w:val="0039018F"/>
    <w:rsid w:val="00393197"/>
    <w:rsid w:val="00395DC8"/>
    <w:rsid w:val="003A576B"/>
    <w:rsid w:val="003B5178"/>
    <w:rsid w:val="003C1C40"/>
    <w:rsid w:val="003C3C2F"/>
    <w:rsid w:val="003C5419"/>
    <w:rsid w:val="003D7BC8"/>
    <w:rsid w:val="003E5797"/>
    <w:rsid w:val="003E636B"/>
    <w:rsid w:val="003F689B"/>
    <w:rsid w:val="00404618"/>
    <w:rsid w:val="00410982"/>
    <w:rsid w:val="004119FB"/>
    <w:rsid w:val="00412369"/>
    <w:rsid w:val="004274E0"/>
    <w:rsid w:val="00431A72"/>
    <w:rsid w:val="00434CA4"/>
    <w:rsid w:val="00443F93"/>
    <w:rsid w:val="00445644"/>
    <w:rsid w:val="00446654"/>
    <w:rsid w:val="00451333"/>
    <w:rsid w:val="00456349"/>
    <w:rsid w:val="00456EA6"/>
    <w:rsid w:val="0046727B"/>
    <w:rsid w:val="004673A7"/>
    <w:rsid w:val="00470D57"/>
    <w:rsid w:val="00476604"/>
    <w:rsid w:val="004778F6"/>
    <w:rsid w:val="00487F72"/>
    <w:rsid w:val="00491CFE"/>
    <w:rsid w:val="004948A8"/>
    <w:rsid w:val="00496641"/>
    <w:rsid w:val="004A5E33"/>
    <w:rsid w:val="004A6CBB"/>
    <w:rsid w:val="004B1BF7"/>
    <w:rsid w:val="004B2131"/>
    <w:rsid w:val="004C1DBC"/>
    <w:rsid w:val="004C3917"/>
    <w:rsid w:val="004C4599"/>
    <w:rsid w:val="004C58F6"/>
    <w:rsid w:val="004C6757"/>
    <w:rsid w:val="004C7A03"/>
    <w:rsid w:val="004D1A6D"/>
    <w:rsid w:val="004D383B"/>
    <w:rsid w:val="004E1598"/>
    <w:rsid w:val="004E32D9"/>
    <w:rsid w:val="004E3842"/>
    <w:rsid w:val="004E77C0"/>
    <w:rsid w:val="004F1032"/>
    <w:rsid w:val="004F450B"/>
    <w:rsid w:val="004F7708"/>
    <w:rsid w:val="005011AE"/>
    <w:rsid w:val="00501298"/>
    <w:rsid w:val="0050476D"/>
    <w:rsid w:val="005126C9"/>
    <w:rsid w:val="0051397B"/>
    <w:rsid w:val="005139D5"/>
    <w:rsid w:val="00517CD9"/>
    <w:rsid w:val="00523550"/>
    <w:rsid w:val="00525C10"/>
    <w:rsid w:val="005366E0"/>
    <w:rsid w:val="00540872"/>
    <w:rsid w:val="0054720C"/>
    <w:rsid w:val="0055411D"/>
    <w:rsid w:val="00560DF2"/>
    <w:rsid w:val="00564659"/>
    <w:rsid w:val="00570E7D"/>
    <w:rsid w:val="0057613E"/>
    <w:rsid w:val="00590539"/>
    <w:rsid w:val="00592CE4"/>
    <w:rsid w:val="00593E1D"/>
    <w:rsid w:val="00594776"/>
    <w:rsid w:val="0059676B"/>
    <w:rsid w:val="005A171B"/>
    <w:rsid w:val="005A1F1C"/>
    <w:rsid w:val="005A34BC"/>
    <w:rsid w:val="005A433A"/>
    <w:rsid w:val="005A4CC6"/>
    <w:rsid w:val="005A6723"/>
    <w:rsid w:val="005A6F85"/>
    <w:rsid w:val="005C523A"/>
    <w:rsid w:val="005D1257"/>
    <w:rsid w:val="005E3A80"/>
    <w:rsid w:val="005E4D5B"/>
    <w:rsid w:val="005F0024"/>
    <w:rsid w:val="005F3DFF"/>
    <w:rsid w:val="005F4EF5"/>
    <w:rsid w:val="005F5EC8"/>
    <w:rsid w:val="00603CF6"/>
    <w:rsid w:val="00604014"/>
    <w:rsid w:val="00607290"/>
    <w:rsid w:val="0061018D"/>
    <w:rsid w:val="00611A77"/>
    <w:rsid w:val="00612232"/>
    <w:rsid w:val="00617262"/>
    <w:rsid w:val="00621666"/>
    <w:rsid w:val="0062555F"/>
    <w:rsid w:val="00626EDF"/>
    <w:rsid w:val="006327C8"/>
    <w:rsid w:val="00633EEE"/>
    <w:rsid w:val="0064666B"/>
    <w:rsid w:val="0064696F"/>
    <w:rsid w:val="00650F48"/>
    <w:rsid w:val="00662DE7"/>
    <w:rsid w:val="006668F0"/>
    <w:rsid w:val="00673396"/>
    <w:rsid w:val="00673B5A"/>
    <w:rsid w:val="00684B75"/>
    <w:rsid w:val="00685C76"/>
    <w:rsid w:val="00692735"/>
    <w:rsid w:val="00693A7D"/>
    <w:rsid w:val="00693AD0"/>
    <w:rsid w:val="00694EB1"/>
    <w:rsid w:val="00696A0F"/>
    <w:rsid w:val="006A4E00"/>
    <w:rsid w:val="006B3D3D"/>
    <w:rsid w:val="006C7B0C"/>
    <w:rsid w:val="006D224C"/>
    <w:rsid w:val="006D2FD0"/>
    <w:rsid w:val="006D5225"/>
    <w:rsid w:val="006E00AE"/>
    <w:rsid w:val="006E0C28"/>
    <w:rsid w:val="006F1D50"/>
    <w:rsid w:val="00703D26"/>
    <w:rsid w:val="00711F1A"/>
    <w:rsid w:val="0071784A"/>
    <w:rsid w:val="0072460E"/>
    <w:rsid w:val="007262D2"/>
    <w:rsid w:val="00726D10"/>
    <w:rsid w:val="00731FE1"/>
    <w:rsid w:val="00732993"/>
    <w:rsid w:val="0073328E"/>
    <w:rsid w:val="00736685"/>
    <w:rsid w:val="00753799"/>
    <w:rsid w:val="00753E7E"/>
    <w:rsid w:val="00757626"/>
    <w:rsid w:val="0076061C"/>
    <w:rsid w:val="00772CE4"/>
    <w:rsid w:val="00780889"/>
    <w:rsid w:val="007912B2"/>
    <w:rsid w:val="00791675"/>
    <w:rsid w:val="007934AA"/>
    <w:rsid w:val="007934EA"/>
    <w:rsid w:val="007951DD"/>
    <w:rsid w:val="00796E0C"/>
    <w:rsid w:val="007B4A68"/>
    <w:rsid w:val="007B5D20"/>
    <w:rsid w:val="007B6706"/>
    <w:rsid w:val="007C0597"/>
    <w:rsid w:val="007C2D42"/>
    <w:rsid w:val="007D1C0E"/>
    <w:rsid w:val="007D42F0"/>
    <w:rsid w:val="007D4BF4"/>
    <w:rsid w:val="007F1577"/>
    <w:rsid w:val="007F20DA"/>
    <w:rsid w:val="007F3B85"/>
    <w:rsid w:val="007F5261"/>
    <w:rsid w:val="00803D6C"/>
    <w:rsid w:val="00804DC3"/>
    <w:rsid w:val="008050DC"/>
    <w:rsid w:val="008128CF"/>
    <w:rsid w:val="008141FA"/>
    <w:rsid w:val="008145E3"/>
    <w:rsid w:val="008149F2"/>
    <w:rsid w:val="00816328"/>
    <w:rsid w:val="00816C33"/>
    <w:rsid w:val="00835F06"/>
    <w:rsid w:val="00846A64"/>
    <w:rsid w:val="00847DF3"/>
    <w:rsid w:val="008575A9"/>
    <w:rsid w:val="00866814"/>
    <w:rsid w:val="00872A9C"/>
    <w:rsid w:val="0087475C"/>
    <w:rsid w:val="00882379"/>
    <w:rsid w:val="00882EB1"/>
    <w:rsid w:val="00883D09"/>
    <w:rsid w:val="00884603"/>
    <w:rsid w:val="00893198"/>
    <w:rsid w:val="00893BCA"/>
    <w:rsid w:val="008A10C5"/>
    <w:rsid w:val="008A6C57"/>
    <w:rsid w:val="008A7F1A"/>
    <w:rsid w:val="008C4C8A"/>
    <w:rsid w:val="008C618F"/>
    <w:rsid w:val="008C7184"/>
    <w:rsid w:val="008C749D"/>
    <w:rsid w:val="008D0CCF"/>
    <w:rsid w:val="008F03D0"/>
    <w:rsid w:val="008F341F"/>
    <w:rsid w:val="008F49D9"/>
    <w:rsid w:val="008F5A2C"/>
    <w:rsid w:val="009006B8"/>
    <w:rsid w:val="009025BE"/>
    <w:rsid w:val="00911010"/>
    <w:rsid w:val="0092196B"/>
    <w:rsid w:val="00927553"/>
    <w:rsid w:val="00931829"/>
    <w:rsid w:val="009346E9"/>
    <w:rsid w:val="0094062D"/>
    <w:rsid w:val="00942787"/>
    <w:rsid w:val="00942C5F"/>
    <w:rsid w:val="00946CE9"/>
    <w:rsid w:val="009512DB"/>
    <w:rsid w:val="00954400"/>
    <w:rsid w:val="0095621B"/>
    <w:rsid w:val="00961D4F"/>
    <w:rsid w:val="009660C1"/>
    <w:rsid w:val="00967ED8"/>
    <w:rsid w:val="0097326C"/>
    <w:rsid w:val="00974C43"/>
    <w:rsid w:val="009823B6"/>
    <w:rsid w:val="009860F4"/>
    <w:rsid w:val="00994113"/>
    <w:rsid w:val="009A7FCE"/>
    <w:rsid w:val="009B7C8F"/>
    <w:rsid w:val="009C335B"/>
    <w:rsid w:val="009C6F0C"/>
    <w:rsid w:val="009D2CCE"/>
    <w:rsid w:val="009E05F1"/>
    <w:rsid w:val="009E0979"/>
    <w:rsid w:val="009E21D1"/>
    <w:rsid w:val="009E487D"/>
    <w:rsid w:val="009F2269"/>
    <w:rsid w:val="009F5699"/>
    <w:rsid w:val="009F6D8B"/>
    <w:rsid w:val="00A07548"/>
    <w:rsid w:val="00A11CA5"/>
    <w:rsid w:val="00A123E2"/>
    <w:rsid w:val="00A200B5"/>
    <w:rsid w:val="00A2526A"/>
    <w:rsid w:val="00A32F74"/>
    <w:rsid w:val="00A34B58"/>
    <w:rsid w:val="00A42562"/>
    <w:rsid w:val="00A50084"/>
    <w:rsid w:val="00A502C4"/>
    <w:rsid w:val="00A50ADD"/>
    <w:rsid w:val="00A5305D"/>
    <w:rsid w:val="00A54E45"/>
    <w:rsid w:val="00A550B5"/>
    <w:rsid w:val="00A61C4A"/>
    <w:rsid w:val="00A71517"/>
    <w:rsid w:val="00A76956"/>
    <w:rsid w:val="00A76C49"/>
    <w:rsid w:val="00A80CEF"/>
    <w:rsid w:val="00A814CB"/>
    <w:rsid w:val="00A8210A"/>
    <w:rsid w:val="00A839A7"/>
    <w:rsid w:val="00A842AA"/>
    <w:rsid w:val="00A87CA9"/>
    <w:rsid w:val="00A9128C"/>
    <w:rsid w:val="00A96449"/>
    <w:rsid w:val="00AA7448"/>
    <w:rsid w:val="00AA7A58"/>
    <w:rsid w:val="00AB47FE"/>
    <w:rsid w:val="00AC18EC"/>
    <w:rsid w:val="00AC2A8F"/>
    <w:rsid w:val="00AC6472"/>
    <w:rsid w:val="00AD2656"/>
    <w:rsid w:val="00AD4A43"/>
    <w:rsid w:val="00AD54AE"/>
    <w:rsid w:val="00AF0059"/>
    <w:rsid w:val="00B0203B"/>
    <w:rsid w:val="00B07591"/>
    <w:rsid w:val="00B078BA"/>
    <w:rsid w:val="00B10393"/>
    <w:rsid w:val="00B20ACD"/>
    <w:rsid w:val="00B279FC"/>
    <w:rsid w:val="00B311A6"/>
    <w:rsid w:val="00B32774"/>
    <w:rsid w:val="00B355D3"/>
    <w:rsid w:val="00B51FFF"/>
    <w:rsid w:val="00B5294F"/>
    <w:rsid w:val="00B5350B"/>
    <w:rsid w:val="00B56160"/>
    <w:rsid w:val="00B61F2F"/>
    <w:rsid w:val="00B66650"/>
    <w:rsid w:val="00B73F84"/>
    <w:rsid w:val="00B82470"/>
    <w:rsid w:val="00B83C3C"/>
    <w:rsid w:val="00B9617C"/>
    <w:rsid w:val="00B9746C"/>
    <w:rsid w:val="00BA081A"/>
    <w:rsid w:val="00BA2ABF"/>
    <w:rsid w:val="00BA61F6"/>
    <w:rsid w:val="00BA639E"/>
    <w:rsid w:val="00BC4391"/>
    <w:rsid w:val="00BC5893"/>
    <w:rsid w:val="00BE1E5E"/>
    <w:rsid w:val="00BE7117"/>
    <w:rsid w:val="00BF1A83"/>
    <w:rsid w:val="00BF73CE"/>
    <w:rsid w:val="00C11892"/>
    <w:rsid w:val="00C14DE9"/>
    <w:rsid w:val="00C2220D"/>
    <w:rsid w:val="00C23B51"/>
    <w:rsid w:val="00C267E7"/>
    <w:rsid w:val="00C31EE4"/>
    <w:rsid w:val="00C33481"/>
    <w:rsid w:val="00C34A5B"/>
    <w:rsid w:val="00C35DF8"/>
    <w:rsid w:val="00C37A94"/>
    <w:rsid w:val="00C41E8E"/>
    <w:rsid w:val="00C43B8E"/>
    <w:rsid w:val="00C45BD9"/>
    <w:rsid w:val="00C510F2"/>
    <w:rsid w:val="00C550B2"/>
    <w:rsid w:val="00C6125D"/>
    <w:rsid w:val="00C664F0"/>
    <w:rsid w:val="00C73450"/>
    <w:rsid w:val="00C77B77"/>
    <w:rsid w:val="00C90010"/>
    <w:rsid w:val="00C928F0"/>
    <w:rsid w:val="00CB0924"/>
    <w:rsid w:val="00CB0C32"/>
    <w:rsid w:val="00CB27CD"/>
    <w:rsid w:val="00CB5492"/>
    <w:rsid w:val="00CB5834"/>
    <w:rsid w:val="00CB6F08"/>
    <w:rsid w:val="00CD0BE5"/>
    <w:rsid w:val="00CE0229"/>
    <w:rsid w:val="00CE03A6"/>
    <w:rsid w:val="00CE1ADE"/>
    <w:rsid w:val="00CE1B47"/>
    <w:rsid w:val="00CE3118"/>
    <w:rsid w:val="00CE31FA"/>
    <w:rsid w:val="00CE34FD"/>
    <w:rsid w:val="00CE6B72"/>
    <w:rsid w:val="00CF05E1"/>
    <w:rsid w:val="00CF647B"/>
    <w:rsid w:val="00D16CCD"/>
    <w:rsid w:val="00D20B52"/>
    <w:rsid w:val="00D24E24"/>
    <w:rsid w:val="00D32CF7"/>
    <w:rsid w:val="00D40CAA"/>
    <w:rsid w:val="00D44C0F"/>
    <w:rsid w:val="00D457D8"/>
    <w:rsid w:val="00D545B1"/>
    <w:rsid w:val="00D554D9"/>
    <w:rsid w:val="00D720AC"/>
    <w:rsid w:val="00D75959"/>
    <w:rsid w:val="00D80C80"/>
    <w:rsid w:val="00D83528"/>
    <w:rsid w:val="00D83BB1"/>
    <w:rsid w:val="00D84B8D"/>
    <w:rsid w:val="00D866C7"/>
    <w:rsid w:val="00D871B3"/>
    <w:rsid w:val="00D931C0"/>
    <w:rsid w:val="00DA13F2"/>
    <w:rsid w:val="00DB434E"/>
    <w:rsid w:val="00DC2DD9"/>
    <w:rsid w:val="00DC440F"/>
    <w:rsid w:val="00DD1128"/>
    <w:rsid w:val="00DD158B"/>
    <w:rsid w:val="00DD1BE5"/>
    <w:rsid w:val="00DD3100"/>
    <w:rsid w:val="00DE55E5"/>
    <w:rsid w:val="00DE66F4"/>
    <w:rsid w:val="00DE6915"/>
    <w:rsid w:val="00DF521F"/>
    <w:rsid w:val="00E1042E"/>
    <w:rsid w:val="00E13037"/>
    <w:rsid w:val="00E14281"/>
    <w:rsid w:val="00E1498E"/>
    <w:rsid w:val="00E17115"/>
    <w:rsid w:val="00E179DE"/>
    <w:rsid w:val="00E218D7"/>
    <w:rsid w:val="00E22FF1"/>
    <w:rsid w:val="00E25501"/>
    <w:rsid w:val="00E301E0"/>
    <w:rsid w:val="00E302CD"/>
    <w:rsid w:val="00E30659"/>
    <w:rsid w:val="00E4093D"/>
    <w:rsid w:val="00E432B5"/>
    <w:rsid w:val="00E538B7"/>
    <w:rsid w:val="00E57754"/>
    <w:rsid w:val="00E66D50"/>
    <w:rsid w:val="00E7560E"/>
    <w:rsid w:val="00E8160D"/>
    <w:rsid w:val="00E81E49"/>
    <w:rsid w:val="00EA4813"/>
    <w:rsid w:val="00EA5082"/>
    <w:rsid w:val="00EA53F3"/>
    <w:rsid w:val="00EC2C2D"/>
    <w:rsid w:val="00EC2C82"/>
    <w:rsid w:val="00EE4380"/>
    <w:rsid w:val="00EE49ED"/>
    <w:rsid w:val="00EE5A03"/>
    <w:rsid w:val="00EF223E"/>
    <w:rsid w:val="00EF24A0"/>
    <w:rsid w:val="00EF473E"/>
    <w:rsid w:val="00F00F06"/>
    <w:rsid w:val="00F0272C"/>
    <w:rsid w:val="00F049F0"/>
    <w:rsid w:val="00F04C5E"/>
    <w:rsid w:val="00F0607E"/>
    <w:rsid w:val="00F071F2"/>
    <w:rsid w:val="00F11B12"/>
    <w:rsid w:val="00F218D6"/>
    <w:rsid w:val="00F21B3A"/>
    <w:rsid w:val="00F30807"/>
    <w:rsid w:val="00F3206D"/>
    <w:rsid w:val="00F36B0A"/>
    <w:rsid w:val="00F37865"/>
    <w:rsid w:val="00F4100C"/>
    <w:rsid w:val="00F47938"/>
    <w:rsid w:val="00F51E15"/>
    <w:rsid w:val="00F56AF0"/>
    <w:rsid w:val="00F620E8"/>
    <w:rsid w:val="00F64B9D"/>
    <w:rsid w:val="00F651DA"/>
    <w:rsid w:val="00F70F4C"/>
    <w:rsid w:val="00F73B6F"/>
    <w:rsid w:val="00F74FF9"/>
    <w:rsid w:val="00F755E3"/>
    <w:rsid w:val="00F807FA"/>
    <w:rsid w:val="00F80CD1"/>
    <w:rsid w:val="00F824D5"/>
    <w:rsid w:val="00F8524C"/>
    <w:rsid w:val="00F85DCE"/>
    <w:rsid w:val="00F95202"/>
    <w:rsid w:val="00F956A7"/>
    <w:rsid w:val="00F964B2"/>
    <w:rsid w:val="00FA3373"/>
    <w:rsid w:val="00FA568E"/>
    <w:rsid w:val="00FA7CF2"/>
    <w:rsid w:val="00FC0E87"/>
    <w:rsid w:val="00FC1654"/>
    <w:rsid w:val="00FC7897"/>
    <w:rsid w:val="00FD26E6"/>
    <w:rsid w:val="00FE0D48"/>
    <w:rsid w:val="00FE14F7"/>
    <w:rsid w:val="00FF3F66"/>
    <w:rsid w:val="00FF4087"/>
    <w:rsid w:val="00FF4C90"/>
    <w:rsid w:val="00FF4EC2"/>
    <w:rsid w:val="00FF6642"/>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315F75"/>
  <w15:docId w15:val="{2E3401AC-A2C8-4DA8-9B5E-110C8762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F21B3A"/>
    <w:pPr>
      <w:keepNext/>
      <w:numPr>
        <w:ilvl w:val="1"/>
        <w:numId w:val="3"/>
      </w:numPr>
      <w:spacing w:before="240" w:after="120"/>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F21B3A"/>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443F93"/>
    <w:pPr>
      <w:numPr>
        <w:numId w:val="11"/>
      </w:numPr>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ind w:left="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ind w:left="0"/>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ind w:left="0"/>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ind w:left="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basedOn w:val="TableNormal"/>
    <w:uiPriority w:val="69"/>
    <w:rsid w:val="00D16CCD"/>
    <w:rPr>
      <w:rFonts w:eastAsia="Times New Roman"/>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443F93"/>
    <w:pPr>
      <w:numPr>
        <w:ilvl w:val="1"/>
        <w:numId w:val="11"/>
      </w:numPr>
      <w:ind w:left="1644" w:hanging="397"/>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semiHidden/>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semiHidden/>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ind w:left="0"/>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dobe Caslon Pro" w:hAnsi="Adobe Caslon Pro"/>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semiHidden/>
    <w:rsid w:val="003349D8"/>
    <w:pPr>
      <w:tabs>
        <w:tab w:val="center" w:pos="4320"/>
        <w:tab w:val="right" w:pos="8640"/>
      </w:tabs>
      <w:spacing w:before="0" w:after="0"/>
    </w:pPr>
  </w:style>
  <w:style w:type="character" w:customStyle="1" w:styleId="HeaderChar">
    <w:name w:val="Header Char"/>
    <w:basedOn w:val="DefaultParagraphFont"/>
    <w:link w:val="Header"/>
    <w:uiPriority w:val="99"/>
    <w:semiHidden/>
    <w:rsid w:val="00673B5A"/>
    <w:rPr>
      <w:rFonts w:ascii="Arial" w:hAnsi="Arial"/>
      <w:sz w:val="22"/>
      <w:lang w:val="en-GB" w:eastAsia="en-US"/>
    </w:rPr>
  </w:style>
  <w:style w:type="paragraph" w:styleId="Footer">
    <w:name w:val="footer"/>
    <w:basedOn w:val="Normal"/>
    <w:link w:val="FooterChar"/>
    <w:uiPriority w:val="99"/>
    <w:semiHidden/>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semiHidden/>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Arial Bold" w:hAnsi="Arial Bold"/>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paragraph" w:customStyle="1" w:styleId="AppendixHeading">
    <w:name w:val="Appendix Heading"/>
    <w:basedOn w:val="Heading1"/>
    <w:next w:val="BodyTextNormal"/>
    <w:qFormat/>
    <w:rsid w:val="00B20ACD"/>
    <w:pPr>
      <w:numPr>
        <w:numId w:val="13"/>
      </w:numPr>
      <w:tabs>
        <w:tab w:val="left" w:pos="1701"/>
      </w:tabs>
      <w:ind w:hanging="720"/>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C510F2"/>
    <w:pPr>
      <w:ind w:left="851"/>
    </w:pPr>
  </w:style>
  <w:style w:type="character" w:styleId="FootnoteReference">
    <w:name w:val="footnote reference"/>
    <w:basedOn w:val="DefaultParagraphFont"/>
    <w:uiPriority w:val="99"/>
    <w:semiHidden/>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semiHidden/>
    <w:rsid w:val="00FF757F"/>
    <w:rPr>
      <w:sz w:val="20"/>
      <w:szCs w:val="20"/>
    </w:rPr>
  </w:style>
  <w:style w:type="character" w:customStyle="1" w:styleId="CommentTextChar">
    <w:name w:val="Comment Text Char"/>
    <w:basedOn w:val="DefaultParagraphFont"/>
    <w:link w:val="CommentText"/>
    <w:uiPriority w:val="99"/>
    <w:semiHidden/>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uiPriority w:val="1"/>
    <w:semiHidden/>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MOTLevel1NumberedParagraph">
    <w:name w:val="MOT Level 1 Numbered Paragraph"/>
    <w:rsid w:val="00A839A7"/>
    <w:pPr>
      <w:numPr>
        <w:numId w:val="17"/>
      </w:numPr>
      <w:spacing w:after="220"/>
    </w:pPr>
    <w:rPr>
      <w:rFonts w:ascii="Arial" w:eastAsia="Calibri" w:hAnsi="Arial"/>
      <w:sz w:val="22"/>
      <w:szCs w:val="22"/>
      <w:lang w:val="en-NZ" w:eastAsia="en-US"/>
    </w:rPr>
  </w:style>
  <w:style w:type="paragraph" w:customStyle="1" w:styleId="MOTLevel2NumberedParagraph">
    <w:name w:val="MOT Level 2 Numbered Paragraph"/>
    <w:basedOn w:val="MOTLevel1NumberedParagraph"/>
    <w:rsid w:val="00A839A7"/>
    <w:pPr>
      <w:numPr>
        <w:ilvl w:val="1"/>
      </w:numPr>
      <w:spacing w:line="280" w:lineRule="exact"/>
    </w:pPr>
  </w:style>
  <w:style w:type="paragraph" w:customStyle="1" w:styleId="MOTLevel3NumberedParagraph">
    <w:name w:val="MOT Level 3 Numbered Paragraph"/>
    <w:basedOn w:val="MOTLevel2NumberedParagraph"/>
    <w:rsid w:val="00A839A7"/>
    <w:pPr>
      <w:numPr>
        <w:ilvl w:val="2"/>
      </w:numPr>
    </w:pPr>
  </w:style>
  <w:style w:type="paragraph" w:customStyle="1" w:styleId="MOTLevel4NumberedParagraph">
    <w:name w:val="MOT Level 4 Numbered Paragraph"/>
    <w:basedOn w:val="MOTLevel3NumberedParagraph"/>
    <w:rsid w:val="00A839A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pita-my.sharepoint.com/personal/p50006141_capita_co_uk/Documents/Documents/ECoS/Consultation%20conclusion%20on%20ECoS%20delivery%20plan%20-%20DCC%20format.dotm"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A390B1093CA4F96C5FF55FF4050C4" ma:contentTypeVersion="7" ma:contentTypeDescription="Create a new document." ma:contentTypeScope="" ma:versionID="db6ed9cfdde0f974bdf40d3ae2c818f3">
  <xsd:schema xmlns:xsd="http://www.w3.org/2001/XMLSchema" xmlns:xs="http://www.w3.org/2001/XMLSchema" xmlns:p="http://schemas.microsoft.com/office/2006/metadata/properties" xmlns:ns3="f23aa356-3b42-4bd8-b098-9dea5a159143" xmlns:ns4="3ba5b231-4bb7-4db3-b90c-5c345c101f57" targetNamespace="http://schemas.microsoft.com/office/2006/metadata/properties" ma:root="true" ma:fieldsID="bf18723354430795d4c35c4a89780ef6" ns3:_="" ns4:_="">
    <xsd:import namespace="f23aa356-3b42-4bd8-b098-9dea5a159143"/>
    <xsd:import namespace="3ba5b231-4bb7-4db3-b90c-5c345c101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a356-3b42-4bd8-b098-9dea5a159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5b231-4bb7-4db3-b90c-5c345c101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B5E6-3E5C-487B-82DD-891246E8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a356-3b42-4bd8-b098-9dea5a159143"/>
    <ds:schemaRef ds:uri="3ba5b231-4bb7-4db3-b90c-5c345c101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F2AD4-62F7-40DC-A3C5-24A7850C0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9C6EB-80DA-45F7-A214-355A9CE4E989}">
  <ds:schemaRefs>
    <ds:schemaRef ds:uri="http://schemas.microsoft.com/sharepoint/v3/contenttype/forms"/>
  </ds:schemaRefs>
</ds:datastoreItem>
</file>

<file path=customXml/itemProps4.xml><?xml version="1.0" encoding="utf-8"?>
<ds:datastoreItem xmlns:ds="http://schemas.openxmlformats.org/officeDocument/2006/customXml" ds:itemID="{87C89C9F-E35B-4D3B-8149-28A9D3EB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Consultation%20conclusion%20on%20ECoS%20delivery%20plan%20-%20DCC%20format</Template>
  <TotalTime>145</TotalTime>
  <Pages>13</Pages>
  <Words>3564</Words>
  <Characters>20320</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vt:lpstr>
      <vt:lpstr>Feedback on the DCC plan</vt:lpstr>
      <vt:lpstr>    Responses to the consultation questions on the DCC plan</vt:lpstr>
      <vt:lpstr>        LC13A plan and milestones (Question 1 and Question 2)</vt:lpstr>
      <vt:lpstr>        Contingency (Question 3)</vt:lpstr>
      <vt:lpstr>        Risks, Assumptions and Dependencies (Question 4)</vt:lpstr>
      <vt:lpstr>Conclusions</vt:lpstr>
      <vt:lpstr>Next steps</vt:lpstr>
    </vt:vector>
  </TitlesOfParts>
  <Company>Capita IT Services</Company>
  <LinksUpToDate>false</LinksUpToDate>
  <CharactersWithSpaces>23837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Bingham, William Thomas (DCC)</dc:creator>
  <cp:keywords/>
  <cp:lastModifiedBy>Bingham, William Thomas (DCC)</cp:lastModifiedBy>
  <cp:revision>36</cp:revision>
  <cp:lastPrinted>2015-07-21T16:42:00Z</cp:lastPrinted>
  <dcterms:created xsi:type="dcterms:W3CDTF">2020-03-15T13:10:00Z</dcterms:created>
  <dcterms:modified xsi:type="dcterms:W3CDTF">2020-03-16T17:52:00Z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d5f52909-a91f-4fd1-8ea5-299727a639a2</vt:lpwstr>
  </property>
  <property fmtid="{D5CDD505-2E9C-101B-9397-08002B2CF9AE}" pid="3" name="ContentTypeId">
    <vt:lpwstr>0x0101007B5A390B1093CA4F96C5FF55FF4050C4</vt:lpwstr>
  </property>
  <property fmtid="{D5CDD505-2E9C-101B-9397-08002B2CF9AE}" pid="4" name="SmartDCCDocumentType">
    <vt:lpwstr>3;#Template|82a2175a-bdfc-4323-9f20-6244c57ee357</vt:lpwstr>
  </property>
  <property fmtid="{D5CDD505-2E9C-101B-9397-08002B2CF9AE}" pid="5" name="TaxKeyword">
    <vt:lpwstr/>
  </property>
  <property fmtid="{D5CDD505-2E9C-101B-9397-08002B2CF9AE}" pid="6" name="SmartDCCSecurityClassification">
    <vt:lpwstr>1;#DCC Controlled|acf3b25a-0f54-496a-874b-0b3cadfe1240</vt:lpwstr>
  </property>
  <property fmtid="{D5CDD505-2E9C-101B-9397-08002B2CF9AE}" pid="7" name="SmartDCCFunction">
    <vt:lpwstr>11;#Communications|dd3a2ab9-3f72-4178-a174-4751dfb109cf</vt:lpwstr>
  </property>
  <property fmtid="{D5CDD505-2E9C-101B-9397-08002B2CF9AE}" pid="8" name="Knowledge Type">
    <vt:lpwstr/>
  </property>
  <property fmtid="{D5CDD505-2E9C-101B-9397-08002B2CF9AE}" pid="9" name="SmartDCCOrganisation">
    <vt:lpwstr/>
  </property>
  <property fmtid="{D5CDD505-2E9C-101B-9397-08002B2CF9AE}" pid="10" name="DCCRelease">
    <vt:lpwstr/>
  </property>
  <property fmtid="{D5CDD505-2E9C-101B-9397-08002B2CF9AE}" pid="11" name="DocumentSetDescription">
    <vt:lpwstr/>
  </property>
  <property fmtid="{D5CDD505-2E9C-101B-9397-08002B2CF9AE}" pid="12" name="DCCDepartment">
    <vt:lpwstr/>
  </property>
  <property fmtid="{D5CDD505-2E9C-101B-9397-08002B2CF9AE}" pid="13" name="_dlc_DocId">
    <vt:lpwstr>SNJZV6RF4X3T-230-1520</vt:lpwstr>
  </property>
  <property fmtid="{D5CDD505-2E9C-101B-9397-08002B2CF9AE}" pid="14" name="_dlc_DocIdUrl">
    <vt:lpwstr>https://smartdcc.sharepoint.com/sites/Communications/_layouts/15/DocIdRedir.aspx?ID=SNJZV6RF4X3T-230-1520, SNJZV6RF4X3T-230-1520</vt:lpwstr>
  </property>
  <property fmtid="{D5CDD505-2E9C-101B-9397-08002B2CF9AE}" pid="15" name="DCCDocumentStatus">
    <vt:lpwstr/>
  </property>
</Properties>
</file>