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4680"/>
      </w:tblGrid>
      <w:tr w:rsidR="00156F7C" w:rsidRPr="00F90A1C" w14:paraId="0CE5EFCA" w14:textId="77777777" w:rsidTr="009E63EB">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2F21817C" w:rsidR="00156F7C" w:rsidRPr="009E63EB" w:rsidRDefault="00F26796" w:rsidP="009E63EB">
            <w:pPr>
              <w:pStyle w:val="BodyTextBold"/>
              <w:rPr>
                <w:b w:val="0"/>
              </w:rPr>
            </w:pPr>
            <w:r>
              <w:rPr>
                <w:b w:val="0"/>
              </w:rPr>
              <w:t xml:space="preserve">Migration </w:t>
            </w:r>
            <w:r w:rsidR="002824C6">
              <w:rPr>
                <w:b w:val="0"/>
              </w:rPr>
              <w:t>Error Handling and Retry Document</w:t>
            </w:r>
          </w:p>
        </w:tc>
      </w:tr>
      <w:tr w:rsidR="00E218D7" w:rsidRPr="00F90A1C" w14:paraId="7DADE0EA" w14:textId="77777777" w:rsidTr="009E63EB">
        <w:trPr>
          <w:cantSplit/>
          <w:trHeight w:val="20"/>
        </w:trPr>
        <w:tc>
          <w:tcPr>
            <w:tcW w:w="0" w:type="auto"/>
            <w:vAlign w:val="center"/>
          </w:tcPr>
          <w:p w14:paraId="045E4C98" w14:textId="011E22E0" w:rsidR="00E218D7" w:rsidRPr="00F90A1C" w:rsidRDefault="00156F7C" w:rsidP="009E63EB">
            <w:pPr>
              <w:pStyle w:val="BodyTextBold"/>
              <w:jc w:val="right"/>
            </w:pPr>
            <w:r w:rsidRPr="00F90A1C">
              <w:t>Due Date:</w:t>
            </w:r>
          </w:p>
        </w:tc>
        <w:tc>
          <w:tcPr>
            <w:tcW w:w="0" w:type="auto"/>
            <w:vAlign w:val="center"/>
          </w:tcPr>
          <w:p w14:paraId="30AD2695" w14:textId="4E9546FC" w:rsidR="00E218D7" w:rsidRPr="009E63EB" w:rsidRDefault="009C2F78" w:rsidP="009E63EB">
            <w:pPr>
              <w:pStyle w:val="BodyTextBold"/>
              <w:rPr>
                <w:b w:val="0"/>
              </w:rPr>
            </w:pPr>
            <w:r>
              <w:rPr>
                <w:b w:val="0"/>
              </w:rPr>
              <w:t>0</w:t>
            </w:r>
            <w:r w:rsidR="007D6BF5">
              <w:rPr>
                <w:b w:val="0"/>
              </w:rPr>
              <w:t>2</w:t>
            </w:r>
            <w:r>
              <w:rPr>
                <w:b w:val="0"/>
              </w:rPr>
              <w:t xml:space="preserve"> July</w:t>
            </w:r>
            <w:r w:rsidR="00631CF4">
              <w:rPr>
                <w:b w:val="0"/>
              </w:rPr>
              <w:t xml:space="preserve"> 201</w:t>
            </w:r>
            <w:r w:rsidR="002824C6">
              <w:rPr>
                <w:b w:val="0"/>
              </w:rPr>
              <w:t>9</w:t>
            </w:r>
          </w:p>
        </w:tc>
      </w:tr>
      <w:tr w:rsidR="00233DEA" w:rsidRPr="00F90A1C" w14:paraId="4497CC0A" w14:textId="77777777" w:rsidTr="009E63EB">
        <w:trPr>
          <w:cantSplit/>
          <w:trHeight w:val="20"/>
        </w:trPr>
        <w:tc>
          <w:tcPr>
            <w:tcW w:w="0" w:type="auto"/>
            <w:vAlign w:val="center"/>
          </w:tcPr>
          <w:p w14:paraId="09B86D7E" w14:textId="2080C760" w:rsidR="00233DEA" w:rsidRPr="00F90A1C" w:rsidRDefault="00233DEA" w:rsidP="009E63EB">
            <w:pPr>
              <w:pStyle w:val="BodyTextBold"/>
              <w:jc w:val="right"/>
            </w:pPr>
            <w:r w:rsidRPr="00F90A1C">
              <w:t>DCC Contact</w:t>
            </w:r>
          </w:p>
        </w:tc>
        <w:tc>
          <w:tcPr>
            <w:tcW w:w="0" w:type="auto"/>
            <w:vAlign w:val="center"/>
          </w:tcPr>
          <w:p w14:paraId="034D3931" w14:textId="5245CD9A" w:rsidR="00233DEA" w:rsidRPr="009E63EB" w:rsidRDefault="003744F3" w:rsidP="009E63EB">
            <w:pPr>
              <w:pStyle w:val="BodyTextBold"/>
              <w:rPr>
                <w:b w:val="0"/>
              </w:rPr>
            </w:pPr>
            <w:hyperlink r:id="rId8" w:history="1">
              <w:r w:rsidR="00CC6421" w:rsidRPr="00443DD1">
                <w:rPr>
                  <w:rStyle w:val="Hyperlink"/>
                </w:rPr>
                <w:t>enrolment.adoption@smartdcc.co.uk</w:t>
              </w:r>
            </w:hyperlink>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1F00C19A" w:rsidR="00F3668C" w:rsidRPr="009E63EB" w:rsidRDefault="004D6BF7" w:rsidP="009E63EB">
            <w:pPr>
              <w:pStyle w:val="BodyTextBold"/>
              <w:rPr>
                <w:b w:val="0"/>
              </w:rPr>
            </w:pPr>
            <w:r>
              <w:rPr>
                <w:b w:val="0"/>
              </w:rPr>
              <w:t>Western Power Distribution</w:t>
            </w:r>
          </w:p>
        </w:tc>
      </w:tr>
      <w:tr w:rsidR="0052508C" w:rsidRPr="00F90A1C" w14:paraId="46767574" w14:textId="77777777" w:rsidTr="009E63EB">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287D9458" w:rsidR="0052508C" w:rsidRPr="009E63EB" w:rsidRDefault="0052508C" w:rsidP="009E63EB">
            <w:pPr>
              <w:pStyle w:val="BodyTextBold"/>
              <w:rPr>
                <w:b w:val="0"/>
              </w:rPr>
            </w:pPr>
          </w:p>
        </w:tc>
      </w:tr>
      <w:tr w:rsidR="0052508C" w:rsidRPr="00F90A1C" w14:paraId="0921FF89" w14:textId="77777777" w:rsidTr="009E63EB">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71D0F600" w:rsidR="0052508C" w:rsidRPr="009E63EB" w:rsidRDefault="0052508C" w:rsidP="004D6BF7">
            <w:pPr>
              <w:pStyle w:val="BodyTextBold"/>
              <w:rPr>
                <w:b w:val="0"/>
              </w:rPr>
            </w:pPr>
          </w:p>
        </w:tc>
      </w:tr>
      <w:tr w:rsidR="0052508C" w:rsidRPr="00F90A1C" w14:paraId="5074E105" w14:textId="77777777" w:rsidTr="009E63EB">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269F8317" w14:textId="6312833E" w:rsidR="0052508C" w:rsidRPr="009E63EB" w:rsidRDefault="0052508C" w:rsidP="004D6BF7">
            <w:pPr>
              <w:pStyle w:val="BodyTextBold"/>
              <w:rPr>
                <w:b w:val="0"/>
              </w:rPr>
            </w:pPr>
          </w:p>
        </w:tc>
      </w:tr>
    </w:tbl>
    <w:p w14:paraId="22E919AE" w14:textId="6EC7B202" w:rsidR="004064E0" w:rsidRDefault="00DC52C9" w:rsidP="00DC52C9">
      <w:pPr>
        <w:pStyle w:val="Heading1"/>
        <w:numPr>
          <w:ilvl w:val="0"/>
          <w:numId w:val="0"/>
        </w:numPr>
        <w:ind w:left="848" w:hanging="848"/>
      </w:pPr>
      <w:bookmarkStart w:id="0" w:name="_Toc499294628"/>
      <w:r>
        <w:t>R</w:t>
      </w:r>
      <w:r w:rsidR="004064E0">
        <w:t>esponses to the consultation questions</w:t>
      </w:r>
      <w:r w:rsidR="00DE289C">
        <w:t xml:space="preserve"> on </w:t>
      </w:r>
      <w:r w:rsidR="0090703A">
        <w:t>the</w:t>
      </w:r>
      <w:r w:rsidR="009E3938" w:rsidRPr="009E3938">
        <w:rPr>
          <w:b w:val="0"/>
        </w:rPr>
        <w:t xml:space="preserve"> </w:t>
      </w:r>
      <w:bookmarkEnd w:id="0"/>
      <w:r w:rsidR="002759A0">
        <w:rPr>
          <w:b w:val="0"/>
        </w:rPr>
        <w:t>MEHRS</w:t>
      </w:r>
    </w:p>
    <w:tbl>
      <w:tblPr>
        <w:tblStyle w:val="TableTemplate1"/>
        <w:tblW w:w="0" w:type="auto"/>
        <w:tblLook w:val="04A0" w:firstRow="1" w:lastRow="0" w:firstColumn="1" w:lastColumn="0" w:noHBand="0" w:noVBand="1"/>
      </w:tblPr>
      <w:tblGrid>
        <w:gridCol w:w="948"/>
        <w:gridCol w:w="4473"/>
        <w:gridCol w:w="8753"/>
      </w:tblGrid>
      <w:tr w:rsidR="004D6BF7" w14:paraId="3E2A3BAD" w14:textId="77777777" w:rsidTr="00FE7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71F25" w14:textId="3E343F80" w:rsidR="00674D62" w:rsidRDefault="004B2C0E" w:rsidP="00FE755A">
            <w:pPr>
              <w:pStyle w:val="TableText-Left"/>
              <w:spacing w:line="276" w:lineRule="auto"/>
              <w:jc w:val="center"/>
            </w:pPr>
            <w:r>
              <w:t>Numb</w:t>
            </w:r>
          </w:p>
        </w:tc>
        <w:tc>
          <w:tcPr>
            <w:tcW w:w="0" w:type="auto"/>
          </w:tcPr>
          <w:p w14:paraId="0892CFD9" w14:textId="2C71B946"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0" w:type="auto"/>
          </w:tcPr>
          <w:p w14:paraId="033C5F8C" w14:textId="07636174"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4D6BF7" w14:paraId="72511565"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CF235F" w14:textId="6D19B5FF" w:rsidR="00DC52C9" w:rsidRDefault="00DC52C9" w:rsidP="00FE755A">
            <w:pPr>
              <w:pStyle w:val="TableText-Left"/>
              <w:spacing w:line="276" w:lineRule="auto"/>
              <w:jc w:val="center"/>
            </w:pPr>
            <w:r>
              <w:lastRenderedPageBreak/>
              <w:t>n/a</w:t>
            </w:r>
          </w:p>
        </w:tc>
        <w:tc>
          <w:tcPr>
            <w:tcW w:w="0" w:type="auto"/>
            <w:vAlign w:val="center"/>
          </w:tcPr>
          <w:p w14:paraId="2E8CAFFB" w14:textId="204B427B" w:rsidR="003D529C" w:rsidRPr="00884584" w:rsidRDefault="00DC52C9" w:rsidP="003D529C">
            <w:pPr>
              <w:pStyle w:val="TableText-Left"/>
              <w:spacing w:line="276" w:lineRule="auto"/>
              <w:cnfStyle w:val="000000000000" w:firstRow="0" w:lastRow="0" w:firstColumn="0" w:lastColumn="0" w:oddVBand="0" w:evenVBand="0" w:oddHBand="0" w:evenHBand="0" w:firstRowFirstColumn="0" w:firstRowLastColumn="0" w:lastRowFirstColumn="0" w:lastRowLastColumn="0"/>
            </w:pPr>
            <w:r>
              <w:rPr>
                <w:color w:val="5C2071" w:themeColor="accent1"/>
              </w:rPr>
              <w:t>General Comments</w:t>
            </w:r>
          </w:p>
        </w:tc>
        <w:tc>
          <w:tcPr>
            <w:tcW w:w="0" w:type="auto"/>
            <w:vAlign w:val="center"/>
          </w:tcPr>
          <w:p w14:paraId="2774C34F" w14:textId="64BBD13D" w:rsidR="00DC52C9" w:rsidRDefault="004D6BF7" w:rsidP="003D529C">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 xml:space="preserve">We are concerned that there is no mention of Network Operators anywhere within this document.  We are particularly interested in any of the issues with SharePoint as this is will provide a critical function to us throughout </w:t>
            </w:r>
            <w:r w:rsidR="00C77F46">
              <w:rPr>
                <w:color w:val="5C2071" w:themeColor="accent1"/>
              </w:rPr>
              <w:t>the migration</w:t>
            </w:r>
            <w:r>
              <w:rPr>
                <w:color w:val="5C2071" w:themeColor="accent1"/>
              </w:rPr>
              <w:t xml:space="preserve"> process</w:t>
            </w:r>
            <w:r w:rsidR="00C77F46">
              <w:rPr>
                <w:color w:val="5C2071" w:themeColor="accent1"/>
              </w:rPr>
              <w:t xml:space="preserve">.  DNOs need to </w:t>
            </w:r>
            <w:r>
              <w:rPr>
                <w:color w:val="5C2071" w:themeColor="accent1"/>
              </w:rPr>
              <w:t xml:space="preserve">be a </w:t>
            </w:r>
            <w:r w:rsidR="00C77F46">
              <w:rPr>
                <w:color w:val="5C2071" w:themeColor="accent1"/>
              </w:rPr>
              <w:t xml:space="preserve">recognised </w:t>
            </w:r>
            <w:r>
              <w:rPr>
                <w:color w:val="5C2071" w:themeColor="accent1"/>
              </w:rPr>
              <w:t>contact that will potentially contact the DCC if we have issues with SharePoint availability and also expect to be included as an ‘affected’ party to be notified should the DCC become aware of a SharePoint availability issue.</w:t>
            </w:r>
          </w:p>
          <w:p w14:paraId="4575690B" w14:textId="77777777" w:rsidR="006C152E" w:rsidRDefault="006C152E" w:rsidP="003D529C">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p>
          <w:p w14:paraId="30CE6AC6" w14:textId="14570E71" w:rsidR="006C152E" w:rsidRDefault="006C152E" w:rsidP="003D529C">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Consideration should also be given with regards to the reports that the DNOs will receive, for example 2.4.3 should include DNOs as an ‘affected’ User.</w:t>
            </w:r>
            <w:r w:rsidR="00C77F46">
              <w:rPr>
                <w:color w:val="5C2071" w:themeColor="accent1"/>
              </w:rPr>
              <w:t xml:space="preserve">  This is required throughout the document, this is just one example.</w:t>
            </w:r>
          </w:p>
          <w:p w14:paraId="14E78B2A" w14:textId="77777777" w:rsidR="006C152E" w:rsidRDefault="006C152E" w:rsidP="003D529C">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p>
          <w:p w14:paraId="5680DE50" w14:textId="530AD6F9" w:rsidR="006C152E" w:rsidRDefault="006C152E" w:rsidP="003D529C">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 xml:space="preserve">Under 2.6.3 </w:t>
            </w:r>
            <w:r w:rsidR="00C77F46">
              <w:rPr>
                <w:color w:val="5C2071" w:themeColor="accent1"/>
              </w:rPr>
              <w:t>we</w:t>
            </w:r>
            <w:r>
              <w:rPr>
                <w:color w:val="5C2071" w:themeColor="accent1"/>
              </w:rPr>
              <w:t xml:space="preserve"> would like to understand </w:t>
            </w:r>
            <w:r w:rsidR="00735084">
              <w:rPr>
                <w:color w:val="5C2071" w:themeColor="accent1"/>
              </w:rPr>
              <w:t xml:space="preserve">if there is any way that the DNO will be notified whether the meter set is going to </w:t>
            </w:r>
            <w:r w:rsidR="00C77F46">
              <w:rPr>
                <w:color w:val="5C2071" w:themeColor="accent1"/>
              </w:rPr>
              <w:t>be re</w:t>
            </w:r>
            <w:r w:rsidR="00735084">
              <w:rPr>
                <w:color w:val="5C2071" w:themeColor="accent1"/>
              </w:rPr>
              <w:t>submitted in another week or whether it will be replaced with a SMETS2 system.  Or do we just need to wait and see when we get the N16 al</w:t>
            </w:r>
            <w:r w:rsidR="00C77F46">
              <w:rPr>
                <w:color w:val="5C2071" w:themeColor="accent1"/>
              </w:rPr>
              <w:t>ert at some point in the future?</w:t>
            </w:r>
          </w:p>
          <w:p w14:paraId="28DD751C" w14:textId="77777777" w:rsidR="00735084" w:rsidRDefault="00735084" w:rsidP="003D529C">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p>
          <w:p w14:paraId="0386D2BE" w14:textId="52260166" w:rsidR="00735084" w:rsidRDefault="00735084" w:rsidP="003D529C">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 xml:space="preserve">Section 2.7.4 </w:t>
            </w:r>
            <w:r w:rsidR="00C77F46">
              <w:rPr>
                <w:color w:val="5C2071" w:themeColor="accent1"/>
              </w:rPr>
              <w:t>we</w:t>
            </w:r>
            <w:r>
              <w:rPr>
                <w:color w:val="5C2071" w:themeColor="accent1"/>
              </w:rPr>
              <w:t xml:space="preserve"> a</w:t>
            </w:r>
            <w:r w:rsidR="00C77F46">
              <w:rPr>
                <w:color w:val="5C2071" w:themeColor="accent1"/>
              </w:rPr>
              <w:t>re</w:t>
            </w:r>
            <w:r>
              <w:rPr>
                <w:color w:val="5C2071" w:themeColor="accent1"/>
              </w:rPr>
              <w:t xml:space="preserve"> concerned that this will be notified via the SSI.  If there is an incident </w:t>
            </w:r>
            <w:r w:rsidR="00C77F46">
              <w:rPr>
                <w:color w:val="5C2071" w:themeColor="accent1"/>
              </w:rPr>
              <w:t>where the</w:t>
            </w:r>
            <w:r>
              <w:rPr>
                <w:color w:val="5C2071" w:themeColor="accent1"/>
              </w:rPr>
              <w:t xml:space="preserve"> DSP are unable to process any installation</w:t>
            </w:r>
            <w:r w:rsidR="00C77F46">
              <w:rPr>
                <w:color w:val="5C2071" w:themeColor="accent1"/>
              </w:rPr>
              <w:t>s</w:t>
            </w:r>
            <w:r>
              <w:rPr>
                <w:color w:val="5C2071" w:themeColor="accent1"/>
              </w:rPr>
              <w:t xml:space="preserve"> </w:t>
            </w:r>
            <w:r w:rsidR="00C77F46">
              <w:rPr>
                <w:color w:val="5C2071" w:themeColor="accent1"/>
              </w:rPr>
              <w:t>we</w:t>
            </w:r>
            <w:r>
              <w:rPr>
                <w:color w:val="5C2071" w:themeColor="accent1"/>
              </w:rPr>
              <w:t xml:space="preserve"> would expect this to be a SEV1/2 incident and follow the normal SEV1/2 path with emails being sent</w:t>
            </w:r>
            <w:r w:rsidR="00C77F46">
              <w:rPr>
                <w:color w:val="5C2071" w:themeColor="accent1"/>
              </w:rPr>
              <w:t xml:space="preserve"> to all parties</w:t>
            </w:r>
            <w:r>
              <w:rPr>
                <w:color w:val="5C2071" w:themeColor="accent1"/>
              </w:rPr>
              <w:t>.</w:t>
            </w:r>
          </w:p>
          <w:p w14:paraId="664F6929" w14:textId="77777777" w:rsidR="00C77F46" w:rsidRDefault="00C77F46" w:rsidP="003D529C">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p>
          <w:p w14:paraId="6647FA10" w14:textId="2A7323FC" w:rsidR="00C77F46" w:rsidRDefault="00C77F46" w:rsidP="00C77F4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We would also like clarification around 2.7.5.  It states ‘</w:t>
            </w:r>
            <w:r>
              <w:t>. For clarity, where the Commissioning Party receives an error Response Code in relation to a ‘Request Handover Of DCC Controlled Device’, an Incident will not be raised and it shall continue processing subsequent Commissioning Requests for that SMETS1 Installation.’</w:t>
            </w:r>
            <w:r>
              <w:rPr>
                <w:color w:val="5C2071" w:themeColor="accent1"/>
              </w:rPr>
              <w:t xml:space="preserve"> Does this mean that the N42 alert will not be generated and sent to the DNO in this instance?</w:t>
            </w:r>
          </w:p>
        </w:tc>
      </w:tr>
      <w:tr w:rsidR="004D6BF7" w14:paraId="1746CC52" w14:textId="2BBE4DE6"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5B64CEFB" w14:textId="79E30298" w:rsidR="002824C6" w:rsidRDefault="00BD2711" w:rsidP="00FE755A">
            <w:pPr>
              <w:pStyle w:val="TableText-Left"/>
              <w:spacing w:line="276" w:lineRule="auto"/>
              <w:jc w:val="center"/>
              <w:rPr>
                <w:b w:val="0"/>
              </w:rPr>
            </w:pPr>
            <w:r>
              <w:lastRenderedPageBreak/>
              <w:t>M</w:t>
            </w:r>
            <w:r w:rsidR="002824C6">
              <w:t>EHR</w:t>
            </w:r>
          </w:p>
          <w:p w14:paraId="1EFB4CC4" w14:textId="6585DC64" w:rsidR="00674D62" w:rsidRPr="004F7708" w:rsidRDefault="00674D62" w:rsidP="00FE755A">
            <w:pPr>
              <w:pStyle w:val="TableText-Left"/>
              <w:spacing w:line="276" w:lineRule="auto"/>
              <w:jc w:val="center"/>
            </w:pPr>
            <w:r>
              <w:t>Q1</w:t>
            </w:r>
          </w:p>
        </w:tc>
        <w:tc>
          <w:tcPr>
            <w:tcW w:w="0" w:type="auto"/>
            <w:vAlign w:val="center"/>
          </w:tcPr>
          <w:p w14:paraId="4A576EE9" w14:textId="57304957" w:rsidR="00404F6A" w:rsidRPr="00404F6A" w:rsidRDefault="002824C6" w:rsidP="003D529C">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2824C6">
              <w:rPr>
                <w:color w:val="5C2071" w:themeColor="accent1"/>
              </w:rPr>
              <w:t>Do you have any detailed comments on Migration Error Handling? Please provide a rationale for your views.</w:t>
            </w:r>
          </w:p>
        </w:tc>
        <w:tc>
          <w:tcPr>
            <w:tcW w:w="0" w:type="auto"/>
            <w:vAlign w:val="center"/>
          </w:tcPr>
          <w:p w14:paraId="653D1E03" w14:textId="77777777" w:rsidR="00FE755A" w:rsidRDefault="006D3A53" w:rsidP="00FE755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3EBF2CF3" w14:textId="2A35DF06" w:rsidR="00674D62" w:rsidRDefault="00BB0E24" w:rsidP="00FE755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 xml:space="preserve">NB </w:t>
            </w:r>
            <w:r w:rsidR="006D3A53">
              <w:rPr>
                <w:color w:val="5C2071" w:themeColor="accent1"/>
              </w:rPr>
              <w:t>the table will resize automatically based on the text added]</w:t>
            </w:r>
          </w:p>
        </w:tc>
      </w:tr>
      <w:tr w:rsidR="004D6BF7" w14:paraId="30A7EA02"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A0B72EF" w14:textId="51A048DB" w:rsidR="00674D62" w:rsidRDefault="00BD2711" w:rsidP="00FE755A">
            <w:pPr>
              <w:pStyle w:val="TableText-Left"/>
              <w:spacing w:line="276" w:lineRule="auto"/>
              <w:jc w:val="center"/>
            </w:pPr>
            <w:r>
              <w:t>M</w:t>
            </w:r>
            <w:r w:rsidR="002824C6">
              <w:t>EHR</w:t>
            </w:r>
            <w:r>
              <w:t xml:space="preserve"> </w:t>
            </w:r>
            <w:r w:rsidR="00674D62">
              <w:t>Q2</w:t>
            </w:r>
          </w:p>
        </w:tc>
        <w:tc>
          <w:tcPr>
            <w:tcW w:w="0" w:type="auto"/>
            <w:vAlign w:val="center"/>
          </w:tcPr>
          <w:p w14:paraId="54453050" w14:textId="727F9015" w:rsidR="00674D62" w:rsidRDefault="002824C6" w:rsidP="00FE755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2824C6">
              <w:rPr>
                <w:color w:val="5C2071" w:themeColor="accent1"/>
              </w:rPr>
              <w:t>Do you have any detailed comments on the types of exceptions/errors that could occur? Please provide a rationale for your views</w:t>
            </w:r>
            <w:r w:rsidR="00BD2711" w:rsidRPr="00BD2711">
              <w:rPr>
                <w:color w:val="5C2071" w:themeColor="accent1"/>
              </w:rPr>
              <w:t>.</w:t>
            </w:r>
          </w:p>
        </w:tc>
        <w:tc>
          <w:tcPr>
            <w:tcW w:w="0" w:type="auto"/>
            <w:vAlign w:val="center"/>
          </w:tcPr>
          <w:p w14:paraId="7B76F773" w14:textId="77777777" w:rsidR="009E3938" w:rsidRDefault="009E3938" w:rsidP="009E3938">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7D5B3FB4" w14:textId="24F855F7" w:rsidR="00674D62" w:rsidRDefault="009E3938" w:rsidP="009E3938">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4D6BF7" w14:paraId="2BE62512"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707B37" w14:textId="21BF15A9" w:rsidR="002824C6" w:rsidRDefault="002824C6" w:rsidP="00FE755A">
            <w:pPr>
              <w:pStyle w:val="TableText-Left"/>
              <w:spacing w:line="276" w:lineRule="auto"/>
              <w:jc w:val="center"/>
            </w:pPr>
            <w:r>
              <w:t>MEHR Q3</w:t>
            </w:r>
          </w:p>
        </w:tc>
        <w:tc>
          <w:tcPr>
            <w:tcW w:w="0" w:type="auto"/>
            <w:vAlign w:val="center"/>
          </w:tcPr>
          <w:p w14:paraId="0133A508" w14:textId="056282D0" w:rsidR="002824C6" w:rsidRPr="002824C6" w:rsidRDefault="002824C6" w:rsidP="00FE755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2824C6">
              <w:rPr>
                <w:color w:val="5C2071" w:themeColor="accent1"/>
              </w:rPr>
              <w:t>Do you have any detailed comments on the Retry and Timeout Strategy? Please provide a rationale for your views.</w:t>
            </w:r>
          </w:p>
        </w:tc>
        <w:tc>
          <w:tcPr>
            <w:tcW w:w="0" w:type="auto"/>
            <w:vAlign w:val="center"/>
          </w:tcPr>
          <w:p w14:paraId="63383448" w14:textId="77777777" w:rsidR="002824C6" w:rsidRDefault="002824C6" w:rsidP="002824C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354ED24A" w14:textId="690D6962" w:rsidR="002824C6" w:rsidRDefault="002824C6" w:rsidP="002824C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4D6BF7" w14:paraId="779B391D"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12533CE" w14:textId="460DA41E" w:rsidR="00CC6421" w:rsidRDefault="00CC6421" w:rsidP="00FE755A">
            <w:pPr>
              <w:pStyle w:val="TableText-Left"/>
              <w:spacing w:line="276" w:lineRule="auto"/>
              <w:jc w:val="center"/>
            </w:pPr>
            <w:r>
              <w:t>MEHR Q4</w:t>
            </w:r>
          </w:p>
        </w:tc>
        <w:tc>
          <w:tcPr>
            <w:tcW w:w="0" w:type="auto"/>
            <w:vAlign w:val="center"/>
          </w:tcPr>
          <w:p w14:paraId="0B41083B" w14:textId="22564378" w:rsidR="00CC6421" w:rsidRPr="002824C6" w:rsidRDefault="00CC6421" w:rsidP="00FE755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CC6421">
              <w:rPr>
                <w:color w:val="5C2071" w:themeColor="accent1"/>
              </w:rPr>
              <w:t>Anything else that you think is important? Please provide a rationale for your views.</w:t>
            </w:r>
          </w:p>
        </w:tc>
        <w:tc>
          <w:tcPr>
            <w:tcW w:w="0" w:type="auto"/>
            <w:vAlign w:val="center"/>
          </w:tcPr>
          <w:p w14:paraId="0C33BE1D" w14:textId="77777777" w:rsidR="00CC6421" w:rsidRPr="00CC6421" w:rsidRDefault="00CC6421" w:rsidP="00CC6421">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CC6421">
              <w:rPr>
                <w:color w:val="5C2071" w:themeColor="accent1"/>
              </w:rPr>
              <w:t>[please add your response here</w:t>
            </w:r>
          </w:p>
          <w:p w14:paraId="58E58138" w14:textId="381108E8" w:rsidR="00CC6421" w:rsidRDefault="00CC6421" w:rsidP="00CC6421">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CC6421">
              <w:rPr>
                <w:color w:val="5C2071" w:themeColor="accent1"/>
              </w:rPr>
              <w:t>NB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25B96" w14:textId="77777777" w:rsidR="003744F3" w:rsidRDefault="003744F3" w:rsidP="00FA568E">
      <w:pPr>
        <w:spacing w:after="0"/>
      </w:pPr>
      <w:r>
        <w:separator/>
      </w:r>
    </w:p>
  </w:endnote>
  <w:endnote w:type="continuationSeparator" w:id="0">
    <w:p w14:paraId="4F07CE24" w14:textId="77777777" w:rsidR="003744F3" w:rsidRDefault="003744F3" w:rsidP="00FA568E">
      <w:pPr>
        <w:spacing w:after="0"/>
      </w:pPr>
      <w:r>
        <w:continuationSeparator/>
      </w:r>
    </w:p>
  </w:endnote>
  <w:endnote w:type="continuationNotice" w:id="1">
    <w:p w14:paraId="2B5D48F6" w14:textId="77777777" w:rsidR="003744F3" w:rsidRDefault="003744F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33055" w14:textId="77777777" w:rsidR="00726A11" w:rsidRDefault="00726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840"/>
      <w:gridCol w:w="4840"/>
      <w:gridCol w:w="4843"/>
    </w:tblGrid>
    <w:tr w:rsidR="00E34ABA" w:rsidRPr="00F8524C" w14:paraId="35FCC390" w14:textId="77777777" w:rsidTr="002B6D09">
      <w:tc>
        <w:tcPr>
          <w:tcW w:w="1666" w:type="pct"/>
        </w:tcPr>
        <w:p w14:paraId="2DEE08F5" w14:textId="1C28B712" w:rsidR="00E34ABA" w:rsidRDefault="002977EE" w:rsidP="00F37854">
          <w:pPr>
            <w:pStyle w:val="Footer"/>
            <w:rPr>
              <w:sz w:val="20"/>
              <w:szCs w:val="20"/>
            </w:rPr>
          </w:pPr>
          <w:r>
            <w:rPr>
              <w:sz w:val="20"/>
              <w:szCs w:val="20"/>
            </w:rPr>
            <w:t>MEHR</w:t>
          </w:r>
          <w:r w:rsidR="002759A0">
            <w:rPr>
              <w:sz w:val="20"/>
              <w:szCs w:val="20"/>
            </w:rPr>
            <w:t>S</w:t>
          </w:r>
          <w:r w:rsidR="00404F6A">
            <w:rPr>
              <w:sz w:val="20"/>
              <w:szCs w:val="20"/>
            </w:rPr>
            <w:t xml:space="preserve"> Consultation Response</w:t>
          </w:r>
        </w:p>
      </w:tc>
      <w:tc>
        <w:tcPr>
          <w:tcW w:w="1666" w:type="pct"/>
        </w:tcPr>
        <w:p w14:paraId="1FDA7819" w14:textId="5D57DE7A"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sidR="00884584">
            <w:rPr>
              <w:sz w:val="20"/>
              <w:szCs w:val="20"/>
            </w:rPr>
            <w:t>PUBLIC</w:t>
          </w:r>
          <w:bookmarkStart w:id="1" w:name="_GoBack"/>
          <w:bookmarkEnd w:id="1"/>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2759A0">
            <w:rPr>
              <w:bCs/>
              <w:noProof/>
              <w:sz w:val="20"/>
              <w:szCs w:val="20"/>
            </w:rPr>
            <w:t>1</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2759A0">
            <w:rPr>
              <w:bCs/>
              <w:noProof/>
              <w:sz w:val="20"/>
              <w:szCs w:val="20"/>
            </w:rPr>
            <w:t>3</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A5EF" w14:textId="77777777" w:rsidR="00726A11" w:rsidRDefault="00726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769EB" w14:textId="77777777" w:rsidR="003744F3" w:rsidRDefault="003744F3" w:rsidP="00FA568E">
      <w:pPr>
        <w:spacing w:after="0"/>
      </w:pPr>
      <w:r>
        <w:separator/>
      </w:r>
    </w:p>
  </w:footnote>
  <w:footnote w:type="continuationSeparator" w:id="0">
    <w:p w14:paraId="4DD6A97D" w14:textId="77777777" w:rsidR="003744F3" w:rsidRDefault="003744F3" w:rsidP="00FA568E">
      <w:pPr>
        <w:spacing w:after="0"/>
      </w:pPr>
      <w:r>
        <w:continuationSeparator/>
      </w:r>
    </w:p>
  </w:footnote>
  <w:footnote w:type="continuationNotice" w:id="1">
    <w:p w14:paraId="53EC2735" w14:textId="77777777" w:rsidR="003744F3" w:rsidRDefault="003744F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B983C" w14:textId="77777777" w:rsidR="00726A11" w:rsidRDefault="00726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282D1" w14:textId="23AC75C1" w:rsidR="0052508C" w:rsidRDefault="0052508C" w:rsidP="0052508C">
    <w:pPr>
      <w:pStyle w:val="DocumentControlHeading"/>
      <w:rPr>
        <w:rFonts w:hint="eastAsia"/>
      </w:rPr>
    </w:pPr>
    <w:r>
      <w:t>Response to DCC Consultation</w:t>
    </w:r>
    <w:r w:rsidR="00BB0E24">
      <w:t xml:space="preserve"> from </w:t>
    </w:r>
    <w:r w:rsidR="004D6BF7">
      <w:t>Western Power Distribution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363F5" w14:textId="77777777" w:rsidR="00726A11" w:rsidRDefault="00726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51C"/>
    <w:rsid w:val="001045FA"/>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EEE"/>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0158"/>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59A0"/>
    <w:rsid w:val="00276C39"/>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977EE"/>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2B39"/>
    <w:rsid w:val="002C4A1A"/>
    <w:rsid w:val="002C4C22"/>
    <w:rsid w:val="002C591C"/>
    <w:rsid w:val="002C7787"/>
    <w:rsid w:val="002D0512"/>
    <w:rsid w:val="002D11E8"/>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3F9C"/>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44F3"/>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D529C"/>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1162"/>
    <w:rsid w:val="004714CC"/>
    <w:rsid w:val="00474571"/>
    <w:rsid w:val="00475136"/>
    <w:rsid w:val="004777E2"/>
    <w:rsid w:val="004778F6"/>
    <w:rsid w:val="00477B3F"/>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6222"/>
    <w:rsid w:val="004D6BF7"/>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6008AD"/>
    <w:rsid w:val="00600FDA"/>
    <w:rsid w:val="00604014"/>
    <w:rsid w:val="0060403D"/>
    <w:rsid w:val="00605673"/>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52E"/>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E88"/>
    <w:rsid w:val="00714998"/>
    <w:rsid w:val="0071784A"/>
    <w:rsid w:val="00720E9D"/>
    <w:rsid w:val="00721005"/>
    <w:rsid w:val="007212A7"/>
    <w:rsid w:val="00721324"/>
    <w:rsid w:val="00721CD9"/>
    <w:rsid w:val="00722C59"/>
    <w:rsid w:val="0072466F"/>
    <w:rsid w:val="00724A7F"/>
    <w:rsid w:val="007254BB"/>
    <w:rsid w:val="0072632B"/>
    <w:rsid w:val="007268B9"/>
    <w:rsid w:val="00726A11"/>
    <w:rsid w:val="00726D10"/>
    <w:rsid w:val="00727410"/>
    <w:rsid w:val="0073084B"/>
    <w:rsid w:val="0073093B"/>
    <w:rsid w:val="00731293"/>
    <w:rsid w:val="00731FE1"/>
    <w:rsid w:val="00733CD5"/>
    <w:rsid w:val="00734770"/>
    <w:rsid w:val="00734DCB"/>
    <w:rsid w:val="00735084"/>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7626"/>
    <w:rsid w:val="0076061C"/>
    <w:rsid w:val="007617AC"/>
    <w:rsid w:val="00765684"/>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49DC"/>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3FA7"/>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618F"/>
    <w:rsid w:val="008C67CE"/>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75D"/>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C111C"/>
    <w:rsid w:val="009C2F78"/>
    <w:rsid w:val="009C335B"/>
    <w:rsid w:val="009C3D84"/>
    <w:rsid w:val="009C5345"/>
    <w:rsid w:val="009C65DA"/>
    <w:rsid w:val="009C685F"/>
    <w:rsid w:val="009C6966"/>
    <w:rsid w:val="009C6F0C"/>
    <w:rsid w:val="009C7AD3"/>
    <w:rsid w:val="009D00A5"/>
    <w:rsid w:val="009D22A3"/>
    <w:rsid w:val="009D2DEA"/>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523F"/>
    <w:rsid w:val="00A87136"/>
    <w:rsid w:val="00A87CA9"/>
    <w:rsid w:val="00A92F82"/>
    <w:rsid w:val="00A94C54"/>
    <w:rsid w:val="00A95E22"/>
    <w:rsid w:val="00A9763E"/>
    <w:rsid w:val="00AA16A9"/>
    <w:rsid w:val="00AA46DD"/>
    <w:rsid w:val="00AA7448"/>
    <w:rsid w:val="00AA7A58"/>
    <w:rsid w:val="00AA7FBF"/>
    <w:rsid w:val="00AB1575"/>
    <w:rsid w:val="00AB3DB3"/>
    <w:rsid w:val="00AB414D"/>
    <w:rsid w:val="00AB56E5"/>
    <w:rsid w:val="00AB6291"/>
    <w:rsid w:val="00AB6765"/>
    <w:rsid w:val="00AB6CE7"/>
    <w:rsid w:val="00AB742A"/>
    <w:rsid w:val="00AB751B"/>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A6BC4"/>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77F46"/>
    <w:rsid w:val="00C8210D"/>
    <w:rsid w:val="00C82BF3"/>
    <w:rsid w:val="00C82FC0"/>
    <w:rsid w:val="00C84A1C"/>
    <w:rsid w:val="00C853B7"/>
    <w:rsid w:val="00C90745"/>
    <w:rsid w:val="00C9122E"/>
    <w:rsid w:val="00C928F0"/>
    <w:rsid w:val="00C9492B"/>
    <w:rsid w:val="00C95BD8"/>
    <w:rsid w:val="00C95CAE"/>
    <w:rsid w:val="00C96081"/>
    <w:rsid w:val="00C97578"/>
    <w:rsid w:val="00C97961"/>
    <w:rsid w:val="00CA03F5"/>
    <w:rsid w:val="00CA2082"/>
    <w:rsid w:val="00CA3378"/>
    <w:rsid w:val="00CA4D07"/>
    <w:rsid w:val="00CA5744"/>
    <w:rsid w:val="00CA5AE5"/>
    <w:rsid w:val="00CA67D5"/>
    <w:rsid w:val="00CA7FAF"/>
    <w:rsid w:val="00CB0C32"/>
    <w:rsid w:val="00CB36CA"/>
    <w:rsid w:val="00CB49E7"/>
    <w:rsid w:val="00CB4BC1"/>
    <w:rsid w:val="00CB5834"/>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D62"/>
    <w:rsid w:val="00D903AB"/>
    <w:rsid w:val="00D90B9B"/>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2F42"/>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6796"/>
    <w:rsid w:val="00F2706B"/>
    <w:rsid w:val="00F27273"/>
    <w:rsid w:val="00F27AB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486D"/>
    <w:rsid w:val="00F8524C"/>
    <w:rsid w:val="00F85DCE"/>
    <w:rsid w:val="00F86380"/>
    <w:rsid w:val="00F872D6"/>
    <w:rsid w:val="00F9009E"/>
    <w:rsid w:val="00F90A1C"/>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61A4"/>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customStyle="1" w:styleId="UnresolvedMention1">
    <w:name w:val="Unresolved Mention1"/>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rolment.adoption@smartdcc.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25665-467E-4129-BF3B-8B7EC60B1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2019-06-24T14:03:00Z</dcterms:created>
  <dcterms:modified xsi:type="dcterms:W3CDTF">2019-07-29T09:27:00Z</dcterms:modified>
</cp:coreProperties>
</file>