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694E" w14:textId="2F69284F" w:rsidR="006D3A53" w:rsidRDefault="006D3A53" w:rsidP="006168D1">
      <w:pPr>
        <w:pStyle w:val="Heading1"/>
        <w:numPr>
          <w:ilvl w:val="0"/>
          <w:numId w:val="0"/>
        </w:numPr>
      </w:pPr>
      <w:r>
        <w:t>Summary Information</w:t>
      </w:r>
    </w:p>
    <w:tbl>
      <w:tblPr>
        <w:tblW w:w="0" w:type="auto"/>
        <w:tblLook w:val="0480" w:firstRow="0" w:lastRow="0" w:firstColumn="1" w:lastColumn="0" w:noHBand="0" w:noVBand="1"/>
      </w:tblPr>
      <w:tblGrid>
        <w:gridCol w:w="3162"/>
        <w:gridCol w:w="4680"/>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2F21817C" w:rsidR="00156F7C" w:rsidRPr="009E63EB" w:rsidRDefault="00F26796" w:rsidP="009E63EB">
            <w:pPr>
              <w:pStyle w:val="BodyTextBold"/>
              <w:rPr>
                <w:b w:val="0"/>
              </w:rPr>
            </w:pPr>
            <w:r>
              <w:rPr>
                <w:b w:val="0"/>
              </w:rPr>
              <w:t xml:space="preserve">Migration </w:t>
            </w:r>
            <w:r w:rsidR="002824C6">
              <w:rPr>
                <w:b w:val="0"/>
              </w:rPr>
              <w:t>Error Handling and Retry Document</w:t>
            </w:r>
          </w:p>
        </w:tc>
      </w:tr>
      <w:tr w:rsidR="00E218D7" w:rsidRPr="00F90A1C" w14:paraId="7DADE0EA" w14:textId="77777777" w:rsidTr="009E63EB">
        <w:trPr>
          <w:cantSplit/>
          <w:trHeight w:val="20"/>
        </w:trPr>
        <w:tc>
          <w:tcPr>
            <w:tcW w:w="0" w:type="auto"/>
            <w:vAlign w:val="center"/>
          </w:tcPr>
          <w:p w14:paraId="045E4C98" w14:textId="011E22E0" w:rsidR="00E218D7" w:rsidRPr="00F90A1C" w:rsidRDefault="00156F7C" w:rsidP="009E63EB">
            <w:pPr>
              <w:pStyle w:val="BodyTextBold"/>
              <w:jc w:val="right"/>
            </w:pPr>
            <w:r w:rsidRPr="00F90A1C">
              <w:t>Due Date:</w:t>
            </w:r>
          </w:p>
        </w:tc>
        <w:tc>
          <w:tcPr>
            <w:tcW w:w="0" w:type="auto"/>
            <w:vAlign w:val="center"/>
          </w:tcPr>
          <w:p w14:paraId="30AD2695" w14:textId="4E9546FC" w:rsidR="00E218D7" w:rsidRPr="009E63EB" w:rsidRDefault="009C2F78" w:rsidP="009E63EB">
            <w:pPr>
              <w:pStyle w:val="BodyTextBold"/>
              <w:rPr>
                <w:b w:val="0"/>
              </w:rPr>
            </w:pPr>
            <w:r>
              <w:rPr>
                <w:b w:val="0"/>
              </w:rPr>
              <w:t>0</w:t>
            </w:r>
            <w:r w:rsidR="007D6BF5">
              <w:rPr>
                <w:b w:val="0"/>
              </w:rPr>
              <w:t>2</w:t>
            </w:r>
            <w:r>
              <w:rPr>
                <w:b w:val="0"/>
              </w:rPr>
              <w:t xml:space="preserve"> July</w:t>
            </w:r>
            <w:r w:rsidR="00631CF4">
              <w:rPr>
                <w:b w:val="0"/>
              </w:rPr>
              <w:t xml:space="preserve"> 201</w:t>
            </w:r>
            <w:r w:rsidR="002824C6">
              <w:rPr>
                <w:b w:val="0"/>
              </w:rPr>
              <w:t>9</w:t>
            </w:r>
          </w:p>
        </w:tc>
      </w:tr>
      <w:tr w:rsidR="00233DEA" w:rsidRPr="00F90A1C" w14:paraId="4497CC0A" w14:textId="77777777" w:rsidTr="009E63EB">
        <w:trPr>
          <w:cantSplit/>
          <w:trHeight w:val="20"/>
        </w:trPr>
        <w:tc>
          <w:tcPr>
            <w:tcW w:w="0" w:type="auto"/>
            <w:vAlign w:val="center"/>
          </w:tcPr>
          <w:p w14:paraId="09B86D7E" w14:textId="2080C760" w:rsidR="00233DEA" w:rsidRPr="00F90A1C" w:rsidRDefault="00233DEA" w:rsidP="009E63EB">
            <w:pPr>
              <w:pStyle w:val="BodyTextBold"/>
              <w:jc w:val="right"/>
            </w:pPr>
            <w:r w:rsidRPr="00F90A1C">
              <w:t>DCC Contact</w:t>
            </w:r>
          </w:p>
        </w:tc>
        <w:tc>
          <w:tcPr>
            <w:tcW w:w="0" w:type="auto"/>
            <w:vAlign w:val="center"/>
          </w:tcPr>
          <w:p w14:paraId="034D3931" w14:textId="5245CD9A" w:rsidR="00233DEA" w:rsidRPr="009E63EB" w:rsidRDefault="00075B3D" w:rsidP="009E63EB">
            <w:pPr>
              <w:pStyle w:val="BodyTextBold"/>
              <w:rPr>
                <w:b w:val="0"/>
              </w:rPr>
            </w:pPr>
            <w:hyperlink r:id="rId8" w:history="1">
              <w:r w:rsidR="00CC6421" w:rsidRPr="00443DD1">
                <w:rPr>
                  <w:rStyle w:val="Hyperlink"/>
                </w:rPr>
                <w:t>enrolment.adoption@smartdcc.co.uk</w:t>
              </w:r>
            </w:hyperlink>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6574822D" w:rsidR="00F3668C" w:rsidRPr="009E63EB" w:rsidRDefault="00AB3655" w:rsidP="009E63EB">
            <w:pPr>
              <w:pStyle w:val="BodyTextBold"/>
              <w:rPr>
                <w:b w:val="0"/>
              </w:rPr>
            </w:pPr>
            <w:r>
              <w:rPr>
                <w:b w:val="0"/>
              </w:rPr>
              <w:t>EDF Energy</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552EC4CB" w:rsidR="0052508C" w:rsidRPr="009E63EB" w:rsidRDefault="0052508C" w:rsidP="009E63EB">
            <w:pPr>
              <w:pStyle w:val="BodyTextBold"/>
              <w:rPr>
                <w:b w:val="0"/>
              </w:rPr>
            </w:pP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7E4073F6" w:rsidR="0052508C" w:rsidRPr="009E63EB" w:rsidRDefault="0052508C" w:rsidP="009E63EB">
            <w:pPr>
              <w:pStyle w:val="BodyTextBold"/>
              <w:rPr>
                <w:b w:val="0"/>
              </w:rPr>
            </w:pP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269F8317" w14:textId="09ADAADE" w:rsidR="0052508C" w:rsidRPr="009E63EB" w:rsidRDefault="0052508C" w:rsidP="009E63EB">
            <w:pPr>
              <w:pStyle w:val="BodyTextBold"/>
              <w:rPr>
                <w:b w:val="0"/>
              </w:rPr>
            </w:pPr>
          </w:p>
        </w:tc>
      </w:tr>
    </w:tbl>
    <w:p w14:paraId="22E919AE" w14:textId="4773063F"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on </w:t>
      </w:r>
      <w:r w:rsidR="0090703A">
        <w:t>the</w:t>
      </w:r>
      <w:r w:rsidR="009E3938" w:rsidRPr="009E3938">
        <w:rPr>
          <w:b w:val="0"/>
        </w:rPr>
        <w:t xml:space="preserve"> </w:t>
      </w:r>
      <w:r w:rsidR="009E3938">
        <w:rPr>
          <w:b w:val="0"/>
        </w:rPr>
        <w:t>Migration Authorisation Mechanism</w:t>
      </w:r>
      <w:bookmarkEnd w:id="0"/>
    </w:p>
    <w:tbl>
      <w:tblPr>
        <w:tblStyle w:val="TableTemplate1"/>
        <w:tblW w:w="0" w:type="auto"/>
        <w:tblLook w:val="04A0" w:firstRow="1" w:lastRow="0" w:firstColumn="1" w:lastColumn="0" w:noHBand="0" w:noVBand="1"/>
      </w:tblPr>
      <w:tblGrid>
        <w:gridCol w:w="942"/>
        <w:gridCol w:w="4335"/>
        <w:gridCol w:w="8897"/>
      </w:tblGrid>
      <w:tr w:rsidR="009E3938" w14:paraId="3E2A3BAD" w14:textId="77777777" w:rsidTr="00FE7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71F25" w14:textId="3E343F80" w:rsidR="00674D62" w:rsidRDefault="004B2C0E" w:rsidP="00FE755A">
            <w:pPr>
              <w:pStyle w:val="TableText-Left"/>
              <w:spacing w:line="276" w:lineRule="auto"/>
              <w:jc w:val="center"/>
            </w:pPr>
            <w:r>
              <w:t>Numb</w:t>
            </w:r>
          </w:p>
        </w:tc>
        <w:tc>
          <w:tcPr>
            <w:tcW w:w="0" w:type="auto"/>
          </w:tcPr>
          <w:p w14:paraId="0892CFD9" w14:textId="2C71B946"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Question</w:t>
            </w:r>
          </w:p>
        </w:tc>
        <w:tc>
          <w:tcPr>
            <w:tcW w:w="0" w:type="auto"/>
          </w:tcPr>
          <w:p w14:paraId="033C5F8C" w14:textId="07636174"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Response</w:t>
            </w:r>
          </w:p>
        </w:tc>
      </w:tr>
      <w:tr w:rsidR="009E3938" w14:paraId="72511565"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CF235F" w14:textId="6D19B5FF" w:rsidR="00DC52C9" w:rsidRDefault="00DC52C9" w:rsidP="00FE755A">
            <w:pPr>
              <w:pStyle w:val="TableText-Left"/>
              <w:spacing w:line="276" w:lineRule="auto"/>
              <w:jc w:val="center"/>
            </w:pPr>
            <w:r>
              <w:t>n/a</w:t>
            </w:r>
          </w:p>
        </w:tc>
        <w:tc>
          <w:tcPr>
            <w:tcW w:w="0" w:type="auto"/>
            <w:vAlign w:val="center"/>
          </w:tcPr>
          <w:p w14:paraId="2E8CAFFB" w14:textId="204B427B" w:rsidR="003D529C" w:rsidRPr="00884584" w:rsidRDefault="00DC52C9"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pPr>
            <w:r>
              <w:rPr>
                <w:color w:val="5C2071" w:themeColor="accent1"/>
              </w:rPr>
              <w:t>General Comments</w:t>
            </w:r>
          </w:p>
        </w:tc>
        <w:tc>
          <w:tcPr>
            <w:tcW w:w="0" w:type="auto"/>
            <w:vAlign w:val="center"/>
          </w:tcPr>
          <w:p w14:paraId="1D5B9CEC" w14:textId="77777777" w:rsidR="003D529C" w:rsidRDefault="003D529C"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6647FA10" w14:textId="5E9FBAD0" w:rsidR="00DC52C9" w:rsidRDefault="003D529C"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9E3938" w14:paraId="1746CC52" w14:textId="2BBE4DE6"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B64CEFB" w14:textId="4565472E" w:rsidR="002824C6" w:rsidRDefault="00BD2711" w:rsidP="00FE755A">
            <w:pPr>
              <w:pStyle w:val="TableText-Left"/>
              <w:spacing w:line="276" w:lineRule="auto"/>
              <w:jc w:val="center"/>
              <w:rPr>
                <w:b w:val="0"/>
              </w:rPr>
            </w:pPr>
            <w:r>
              <w:lastRenderedPageBreak/>
              <w:t>M</w:t>
            </w:r>
            <w:r w:rsidR="002824C6">
              <w:t>EHR</w:t>
            </w:r>
          </w:p>
          <w:p w14:paraId="1EFB4CC4" w14:textId="6585DC64" w:rsidR="00674D62" w:rsidRPr="004F7708" w:rsidRDefault="00674D62" w:rsidP="00FE755A">
            <w:pPr>
              <w:pStyle w:val="TableText-Left"/>
              <w:spacing w:line="276" w:lineRule="auto"/>
              <w:jc w:val="center"/>
            </w:pPr>
            <w:r>
              <w:t>Q1</w:t>
            </w:r>
          </w:p>
        </w:tc>
        <w:tc>
          <w:tcPr>
            <w:tcW w:w="0" w:type="auto"/>
            <w:vAlign w:val="center"/>
          </w:tcPr>
          <w:p w14:paraId="4A576EE9" w14:textId="57304957" w:rsidR="00404F6A" w:rsidRPr="00404F6A" w:rsidRDefault="002824C6"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2824C6">
              <w:rPr>
                <w:color w:val="5C2071" w:themeColor="accent1"/>
              </w:rPr>
              <w:t>Do you have any detailed comments on Migration Error Handling? Please provide a rationale for your views.</w:t>
            </w:r>
          </w:p>
        </w:tc>
        <w:tc>
          <w:tcPr>
            <w:tcW w:w="0" w:type="auto"/>
            <w:vAlign w:val="center"/>
          </w:tcPr>
          <w:p w14:paraId="67C67333" w14:textId="77777777" w:rsidR="00AB3655" w:rsidRDefault="00AB3655" w:rsidP="00AB3655">
            <w:pPr>
              <w:cnfStyle w:val="000000000000" w:firstRow="0" w:lastRow="0" w:firstColumn="0" w:lastColumn="0" w:oddVBand="0" w:evenVBand="0" w:oddHBand="0" w:evenHBand="0" w:firstRowFirstColumn="0" w:firstRowLastColumn="0" w:lastRowFirstColumn="0" w:lastRowLastColumn="0"/>
              <w:rPr>
                <w:b/>
                <w:bCs/>
                <w:color w:val="1F497D"/>
              </w:rPr>
            </w:pPr>
            <w:proofErr w:type="gramStart"/>
            <w:r>
              <w:rPr>
                <w:b/>
                <w:bCs/>
                <w:color w:val="1F497D"/>
              </w:rPr>
              <w:t>All  Sections</w:t>
            </w:r>
            <w:proofErr w:type="gramEnd"/>
            <w:r>
              <w:rPr>
                <w:b/>
                <w:bCs/>
                <w:color w:val="1F497D"/>
              </w:rPr>
              <w:t xml:space="preserve"> in 2.5 </w:t>
            </w:r>
          </w:p>
          <w:p w14:paraId="433E636A" w14:textId="77777777" w:rsidR="00AB3655" w:rsidRDefault="00AB3655" w:rsidP="00AB3655">
            <w:pPr>
              <w:pStyle w:val="ListParagraph"/>
              <w:numPr>
                <w:ilvl w:val="0"/>
                <w:numId w:val="41"/>
              </w:numPr>
              <w:spacing w:before="0" w:after="0"/>
              <w:contextualSpacing w:val="0"/>
              <w:cnfStyle w:val="000000000000" w:firstRow="0" w:lastRow="0" w:firstColumn="0" w:lastColumn="0" w:oddVBand="0" w:evenVBand="0" w:oddHBand="0" w:evenHBand="0" w:firstRowFirstColumn="0" w:firstRowLastColumn="0" w:lastRowFirstColumn="0" w:lastRowLastColumn="0"/>
              <w:rPr>
                <w:color w:val="1F497D"/>
              </w:rPr>
            </w:pPr>
            <w:r>
              <w:rPr>
                <w:color w:val="1F497D"/>
              </w:rPr>
              <w:t>Most of the errors described in this section contain the suggested action that the supplier schedules failed SMETS1 Installations in a subsequent Migration Week. Are there any guidelines as to how long suppliers should wait to maximise the chance of this suggested action working?</w:t>
            </w:r>
          </w:p>
          <w:p w14:paraId="4B78A4F6" w14:textId="77777777" w:rsidR="00AB3655" w:rsidRDefault="00AB3655" w:rsidP="00AB3655">
            <w:pPr>
              <w:pStyle w:val="ListParagraph"/>
              <w:numPr>
                <w:ilvl w:val="0"/>
                <w:numId w:val="41"/>
              </w:numPr>
              <w:spacing w:before="0" w:after="0"/>
              <w:contextualSpacing w:val="0"/>
              <w:cnfStyle w:val="000000000000" w:firstRow="0" w:lastRow="0" w:firstColumn="0" w:lastColumn="0" w:oddVBand="0" w:evenVBand="0" w:oddHBand="0" w:evenHBand="0" w:firstRowFirstColumn="0" w:firstRowLastColumn="0" w:lastRowFirstColumn="0" w:lastRowLastColumn="0"/>
              <w:rPr>
                <w:color w:val="1F497D"/>
              </w:rPr>
            </w:pPr>
            <w:r>
              <w:rPr>
                <w:color w:val="1F497D"/>
              </w:rPr>
              <w:t xml:space="preserve">Can this document state that all installations encountering these errors will be still operational with the original SMSO </w:t>
            </w:r>
            <w:r>
              <w:rPr>
                <w:b/>
                <w:bCs/>
                <w:color w:val="1F497D"/>
              </w:rPr>
              <w:t>before</w:t>
            </w:r>
            <w:r>
              <w:rPr>
                <w:color w:val="1F497D"/>
              </w:rPr>
              <w:t xml:space="preserve"> the supplier is notified?</w:t>
            </w:r>
          </w:p>
          <w:p w14:paraId="6E5D47D5" w14:textId="77777777" w:rsidR="00AB3655" w:rsidRDefault="00AB3655" w:rsidP="00AB3655">
            <w:pPr>
              <w:cnfStyle w:val="000000000000" w:firstRow="0" w:lastRow="0" w:firstColumn="0" w:lastColumn="0" w:oddVBand="0" w:evenVBand="0" w:oddHBand="0" w:evenHBand="0" w:firstRowFirstColumn="0" w:firstRowLastColumn="0" w:lastRowFirstColumn="0" w:lastRowLastColumn="0"/>
              <w:rPr>
                <w:color w:val="1F497D"/>
              </w:rPr>
            </w:pPr>
          </w:p>
          <w:p w14:paraId="0B99A7C0" w14:textId="77777777" w:rsidR="00AB3655" w:rsidRDefault="00AB3655" w:rsidP="00AB3655">
            <w:pPr>
              <w:cnfStyle w:val="000000000000" w:firstRow="0" w:lastRow="0" w:firstColumn="0" w:lastColumn="0" w:oddVBand="0" w:evenVBand="0" w:oddHBand="0" w:evenHBand="0" w:firstRowFirstColumn="0" w:firstRowLastColumn="0" w:lastRowFirstColumn="0" w:lastRowLastColumn="0"/>
              <w:rPr>
                <w:b/>
                <w:bCs/>
                <w:color w:val="1F497D"/>
              </w:rPr>
            </w:pPr>
            <w:r>
              <w:rPr>
                <w:b/>
                <w:bCs/>
                <w:color w:val="1F497D"/>
              </w:rPr>
              <w:t>2.5.6      Migration Group File whole file validation error  </w:t>
            </w:r>
          </w:p>
          <w:p w14:paraId="20C51D7C" w14:textId="77777777" w:rsidR="00AB3655" w:rsidRDefault="00AB3655" w:rsidP="00AB3655">
            <w:pPr>
              <w:cnfStyle w:val="000000000000" w:firstRow="0" w:lastRow="0" w:firstColumn="0" w:lastColumn="0" w:oddVBand="0" w:evenVBand="0" w:oddHBand="0" w:evenHBand="0" w:firstRowFirstColumn="0" w:firstRowLastColumn="0" w:lastRowFirstColumn="0" w:lastRowLastColumn="0"/>
              <w:rPr>
                <w:b/>
                <w:bCs/>
                <w:color w:val="1F497D"/>
              </w:rPr>
            </w:pPr>
            <w:r>
              <w:rPr>
                <w:b/>
                <w:bCs/>
                <w:color w:val="1F497D"/>
              </w:rPr>
              <w:t>2.5.7      Migration Group Encrypted File whole file validation error  </w:t>
            </w:r>
          </w:p>
          <w:p w14:paraId="4508E262" w14:textId="77777777" w:rsidR="00AB3655" w:rsidRDefault="00AB3655" w:rsidP="00AB3655">
            <w:pPr>
              <w:cnfStyle w:val="000000000000" w:firstRow="0" w:lastRow="0" w:firstColumn="0" w:lastColumn="0" w:oddVBand="0" w:evenVBand="0" w:oddHBand="0" w:evenHBand="0" w:firstRowFirstColumn="0" w:firstRowLastColumn="0" w:lastRowFirstColumn="0" w:lastRowLastColumn="0"/>
              <w:rPr>
                <w:b/>
                <w:bCs/>
                <w:color w:val="1F497D"/>
              </w:rPr>
            </w:pPr>
            <w:r>
              <w:rPr>
                <w:b/>
                <w:bCs/>
                <w:color w:val="1F497D"/>
              </w:rPr>
              <w:t>2.5.9      Migration Group Encrypted File validation error (S1SP)</w:t>
            </w:r>
          </w:p>
          <w:p w14:paraId="00E19642" w14:textId="77777777" w:rsidR="00AB3655" w:rsidRDefault="00AB3655" w:rsidP="00AB3655">
            <w:pPr>
              <w:cnfStyle w:val="000000000000" w:firstRow="0" w:lastRow="0" w:firstColumn="0" w:lastColumn="0" w:oddVBand="0" w:evenVBand="0" w:oddHBand="0" w:evenHBand="0" w:firstRowFirstColumn="0" w:firstRowLastColumn="0" w:lastRowFirstColumn="0" w:lastRowLastColumn="0"/>
              <w:rPr>
                <w:b/>
                <w:bCs/>
                <w:color w:val="1F497D"/>
              </w:rPr>
            </w:pPr>
            <w:r>
              <w:rPr>
                <w:b/>
                <w:bCs/>
                <w:color w:val="1F497D"/>
              </w:rPr>
              <w:t>2.5.10    Migration Group Encrypted File SMETS1 Installation level validation error (DCO)</w:t>
            </w:r>
          </w:p>
          <w:p w14:paraId="3EBF2CF3" w14:textId="79FD321D" w:rsidR="00674D62" w:rsidRPr="00AB3655" w:rsidRDefault="00AB3655" w:rsidP="00AB3655">
            <w:pPr>
              <w:pStyle w:val="ListParagraph"/>
              <w:numPr>
                <w:ilvl w:val="0"/>
                <w:numId w:val="42"/>
              </w:numPr>
              <w:spacing w:before="0" w:after="0"/>
              <w:contextualSpacing w:val="0"/>
              <w:cnfStyle w:val="000000000000" w:firstRow="0" w:lastRow="0" w:firstColumn="0" w:lastColumn="0" w:oddVBand="0" w:evenVBand="0" w:oddHBand="0" w:evenHBand="0" w:firstRowFirstColumn="0" w:firstRowLastColumn="0" w:lastRowFirstColumn="0" w:lastRowLastColumn="0"/>
              <w:rPr>
                <w:color w:val="1F497D"/>
              </w:rPr>
            </w:pPr>
            <w:r>
              <w:rPr>
                <w:color w:val="1F497D"/>
              </w:rPr>
              <w:t xml:space="preserve">there is no reference to MRR report that suppliers will receive notification of these errors. </w:t>
            </w:r>
          </w:p>
        </w:tc>
      </w:tr>
      <w:tr w:rsidR="009E3938" w14:paraId="30A7EA02"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0B72EF" w14:textId="51A048DB" w:rsidR="00674D62" w:rsidRDefault="00BD2711" w:rsidP="00FE755A">
            <w:pPr>
              <w:pStyle w:val="TableText-Left"/>
              <w:spacing w:line="276" w:lineRule="auto"/>
              <w:jc w:val="center"/>
            </w:pPr>
            <w:r>
              <w:lastRenderedPageBreak/>
              <w:t>M</w:t>
            </w:r>
            <w:r w:rsidR="002824C6">
              <w:t>EHR</w:t>
            </w:r>
            <w:r>
              <w:t xml:space="preserve"> </w:t>
            </w:r>
            <w:r w:rsidR="00674D62">
              <w:t>Q2</w:t>
            </w:r>
          </w:p>
        </w:tc>
        <w:tc>
          <w:tcPr>
            <w:tcW w:w="0" w:type="auto"/>
            <w:vAlign w:val="center"/>
          </w:tcPr>
          <w:p w14:paraId="54453050" w14:textId="727F9015" w:rsidR="00674D62" w:rsidRDefault="002824C6"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2824C6">
              <w:rPr>
                <w:color w:val="5C2071" w:themeColor="accent1"/>
              </w:rPr>
              <w:t>Do you have any detailed comments on the types of exceptions/errors that could occur? Please provide a rationale for your views</w:t>
            </w:r>
            <w:r w:rsidR="00BD2711" w:rsidRPr="00BD2711">
              <w:rPr>
                <w:color w:val="5C2071" w:themeColor="accent1"/>
              </w:rPr>
              <w:t>.</w:t>
            </w:r>
          </w:p>
        </w:tc>
        <w:tc>
          <w:tcPr>
            <w:tcW w:w="0" w:type="auto"/>
            <w:vAlign w:val="center"/>
          </w:tcPr>
          <w:p w14:paraId="20B9604F" w14:textId="77777777" w:rsidR="00AB3655" w:rsidRDefault="00AB3655" w:rsidP="00AB3655">
            <w:pPr>
              <w:cnfStyle w:val="000000000000" w:firstRow="0" w:lastRow="0" w:firstColumn="0" w:lastColumn="0" w:oddVBand="0" w:evenVBand="0" w:oddHBand="0" w:evenHBand="0" w:firstRowFirstColumn="0" w:firstRowLastColumn="0" w:lastRowFirstColumn="0" w:lastRowLastColumn="0"/>
              <w:rPr>
                <w:b/>
                <w:bCs/>
                <w:color w:val="1F497D"/>
              </w:rPr>
            </w:pPr>
            <w:r>
              <w:rPr>
                <w:b/>
                <w:bCs/>
                <w:color w:val="1F497D"/>
              </w:rPr>
              <w:t>2.3.1      Migration Authorisation Signature Error</w:t>
            </w:r>
          </w:p>
          <w:p w14:paraId="02B06921" w14:textId="77777777" w:rsidR="00AB3655" w:rsidRDefault="00AB3655" w:rsidP="00AB3655">
            <w:pPr>
              <w:pStyle w:val="ListParagraph"/>
              <w:numPr>
                <w:ilvl w:val="0"/>
                <w:numId w:val="39"/>
              </w:numPr>
              <w:spacing w:before="0" w:after="0"/>
              <w:contextualSpacing w:val="0"/>
              <w:cnfStyle w:val="000000000000" w:firstRow="0" w:lastRow="0" w:firstColumn="0" w:lastColumn="0" w:oddVBand="0" w:evenVBand="0" w:oddHBand="0" w:evenHBand="0" w:firstRowFirstColumn="0" w:firstRowLastColumn="0" w:lastRowFirstColumn="0" w:lastRowLastColumn="0"/>
              <w:rPr>
                <w:color w:val="1F497D"/>
              </w:rPr>
            </w:pPr>
            <w:r>
              <w:rPr>
                <w:color w:val="1F497D"/>
              </w:rPr>
              <w:t xml:space="preserve">This section states that errors in the signature of an MA file will result in the DCC Migration Control Centre contacting the supplier via telephone and email. The individuals within EDF Energy responding to these issues will be different from the usual DCC nominated contacts and could change over time. How can we ensure that the right person is contacted to allow for the file to be re-submitted within </w:t>
            </w:r>
            <w:proofErr w:type="gramStart"/>
            <w:r>
              <w:rPr>
                <w:color w:val="1F497D"/>
              </w:rPr>
              <w:t>time.</w:t>
            </w:r>
            <w:proofErr w:type="gramEnd"/>
          </w:p>
          <w:p w14:paraId="44BDD3D5" w14:textId="77777777" w:rsidR="00AB3655" w:rsidRDefault="00AB3655" w:rsidP="00AB3655">
            <w:pPr>
              <w:cnfStyle w:val="000000000000" w:firstRow="0" w:lastRow="0" w:firstColumn="0" w:lastColumn="0" w:oddVBand="0" w:evenVBand="0" w:oddHBand="0" w:evenHBand="0" w:firstRowFirstColumn="0" w:firstRowLastColumn="0" w:lastRowFirstColumn="0" w:lastRowLastColumn="0"/>
              <w:rPr>
                <w:color w:val="1F497D"/>
              </w:rPr>
            </w:pPr>
          </w:p>
          <w:p w14:paraId="417458BD" w14:textId="77777777" w:rsidR="00AB3655" w:rsidRDefault="00AB3655" w:rsidP="00AB3655">
            <w:pPr>
              <w:cnfStyle w:val="000000000000" w:firstRow="0" w:lastRow="0" w:firstColumn="0" w:lastColumn="0" w:oddVBand="0" w:evenVBand="0" w:oddHBand="0" w:evenHBand="0" w:firstRowFirstColumn="0" w:firstRowLastColumn="0" w:lastRowFirstColumn="0" w:lastRowLastColumn="0"/>
              <w:rPr>
                <w:b/>
                <w:bCs/>
                <w:color w:val="1F497D"/>
              </w:rPr>
            </w:pPr>
            <w:r>
              <w:rPr>
                <w:b/>
                <w:bCs/>
                <w:color w:val="1F497D"/>
              </w:rPr>
              <w:t xml:space="preserve">2.3.2      Migration Authorisation File Error </w:t>
            </w:r>
          </w:p>
          <w:p w14:paraId="277D2AA5" w14:textId="77777777" w:rsidR="00AB3655" w:rsidRDefault="00AB3655" w:rsidP="00AB3655">
            <w:pPr>
              <w:pStyle w:val="ListParagraph"/>
              <w:numPr>
                <w:ilvl w:val="0"/>
                <w:numId w:val="40"/>
              </w:numPr>
              <w:spacing w:before="0" w:after="0"/>
              <w:contextualSpacing w:val="0"/>
              <w:cnfStyle w:val="000000000000" w:firstRow="0" w:lastRow="0" w:firstColumn="0" w:lastColumn="0" w:oddVBand="0" w:evenVBand="0" w:oddHBand="0" w:evenHBand="0" w:firstRowFirstColumn="0" w:firstRowLastColumn="0" w:lastRowFirstColumn="0" w:lastRowLastColumn="0"/>
              <w:rPr>
                <w:color w:val="1F497D"/>
              </w:rPr>
            </w:pPr>
            <w:r>
              <w:rPr>
                <w:color w:val="1F497D"/>
              </w:rPr>
              <w:t xml:space="preserve">Do rejected records count towards the demand commitment total i.e. </w:t>
            </w:r>
            <w:proofErr w:type="gramStart"/>
            <w:r>
              <w:rPr>
                <w:color w:val="1F497D"/>
              </w:rPr>
              <w:t>when  a</w:t>
            </w:r>
            <w:proofErr w:type="gramEnd"/>
            <w:r>
              <w:rPr>
                <w:color w:val="1F497D"/>
              </w:rPr>
              <w:t xml:space="preserve"> MA file contains errors and records are rejected will that mean the supplier has not net its demand commitment for that week and reported in ‘Report 8 – ‘Summary of Migration Authorisations Received vs DCC Migration Commitment’.</w:t>
            </w:r>
          </w:p>
          <w:p w14:paraId="7D5B3FB4" w14:textId="2E58D392" w:rsidR="00674D62" w:rsidRDefault="00674D62" w:rsidP="009E3938">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p>
        </w:tc>
      </w:tr>
      <w:tr w:rsidR="002824C6" w14:paraId="2BE62512"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707B37" w14:textId="21BF15A9" w:rsidR="002824C6" w:rsidRDefault="002824C6" w:rsidP="00FE755A">
            <w:pPr>
              <w:pStyle w:val="TableText-Left"/>
              <w:spacing w:line="276" w:lineRule="auto"/>
              <w:jc w:val="center"/>
            </w:pPr>
            <w:r>
              <w:t>MEHR Q3</w:t>
            </w:r>
          </w:p>
        </w:tc>
        <w:tc>
          <w:tcPr>
            <w:tcW w:w="0" w:type="auto"/>
            <w:vAlign w:val="center"/>
          </w:tcPr>
          <w:p w14:paraId="0133A508" w14:textId="056282D0" w:rsidR="002824C6" w:rsidRPr="002824C6" w:rsidRDefault="002824C6"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2824C6">
              <w:rPr>
                <w:color w:val="5C2071" w:themeColor="accent1"/>
              </w:rPr>
              <w:t>Do you have any detailed comments on the Retry and Timeout Strategy? Please provide a rationale for your views.</w:t>
            </w:r>
          </w:p>
        </w:tc>
        <w:tc>
          <w:tcPr>
            <w:tcW w:w="0" w:type="auto"/>
            <w:vAlign w:val="center"/>
          </w:tcPr>
          <w:p w14:paraId="354ED24A" w14:textId="09303C43" w:rsidR="002824C6" w:rsidRPr="00AB3655" w:rsidRDefault="00AB3655" w:rsidP="00AB3655">
            <w:pPr>
              <w:pStyle w:val="ListParagraph"/>
              <w:numPr>
                <w:ilvl w:val="0"/>
                <w:numId w:val="40"/>
              </w:numPr>
              <w:spacing w:before="0" w:after="0"/>
              <w:contextualSpacing w:val="0"/>
              <w:cnfStyle w:val="000000000000" w:firstRow="0" w:lastRow="0" w:firstColumn="0" w:lastColumn="0" w:oddVBand="0" w:evenVBand="0" w:oddHBand="0" w:evenHBand="0" w:firstRowFirstColumn="0" w:firstRowLastColumn="0" w:lastRowFirstColumn="0" w:lastRowLastColumn="0"/>
              <w:rPr>
                <w:color w:val="1F497D"/>
              </w:rPr>
            </w:pPr>
            <w:r w:rsidRPr="00AB3655">
              <w:rPr>
                <w:color w:val="1F497D"/>
              </w:rPr>
              <w:t>No comment</w:t>
            </w:r>
          </w:p>
        </w:tc>
      </w:tr>
      <w:tr w:rsidR="00CC6421" w14:paraId="779B391D"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12533CE" w14:textId="460DA41E" w:rsidR="00CC6421" w:rsidRDefault="00CC6421" w:rsidP="00FE755A">
            <w:pPr>
              <w:pStyle w:val="TableText-Left"/>
              <w:spacing w:line="276" w:lineRule="auto"/>
              <w:jc w:val="center"/>
            </w:pPr>
            <w:r>
              <w:lastRenderedPageBreak/>
              <w:t>MEHR Q4</w:t>
            </w:r>
          </w:p>
        </w:tc>
        <w:tc>
          <w:tcPr>
            <w:tcW w:w="0" w:type="auto"/>
            <w:vAlign w:val="center"/>
          </w:tcPr>
          <w:p w14:paraId="0B41083B" w14:textId="22564378" w:rsidR="00CC6421" w:rsidRPr="002824C6" w:rsidRDefault="00CC6421"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CC6421">
              <w:rPr>
                <w:color w:val="5C2071" w:themeColor="accent1"/>
              </w:rPr>
              <w:t>Anything else that you think is important? Please provide a rationale for your views.</w:t>
            </w:r>
          </w:p>
        </w:tc>
        <w:tc>
          <w:tcPr>
            <w:tcW w:w="0" w:type="auto"/>
            <w:vAlign w:val="center"/>
          </w:tcPr>
          <w:p w14:paraId="31AEA64B" w14:textId="77777777" w:rsidR="00AB3655" w:rsidRDefault="00AB3655" w:rsidP="00AB3655">
            <w:pPr>
              <w:cnfStyle w:val="000000000000" w:firstRow="0" w:lastRow="0" w:firstColumn="0" w:lastColumn="0" w:oddVBand="0" w:evenVBand="0" w:oddHBand="0" w:evenHBand="0" w:firstRowFirstColumn="0" w:firstRowLastColumn="0" w:lastRowFirstColumn="0" w:lastRowLastColumn="0"/>
              <w:rPr>
                <w:b/>
                <w:bCs/>
                <w:color w:val="1F497D"/>
              </w:rPr>
            </w:pPr>
            <w:r>
              <w:rPr>
                <w:b/>
                <w:bCs/>
                <w:color w:val="1F497D"/>
              </w:rPr>
              <w:t>2.6.5      Rollback</w:t>
            </w:r>
          </w:p>
          <w:p w14:paraId="142E585A" w14:textId="77777777" w:rsidR="00AB3655" w:rsidRDefault="00AB3655" w:rsidP="00AB3655">
            <w:pPr>
              <w:pStyle w:val="ListParagraph"/>
              <w:numPr>
                <w:ilvl w:val="0"/>
                <w:numId w:val="40"/>
              </w:numPr>
              <w:spacing w:before="0" w:after="0"/>
              <w:contextualSpacing w:val="0"/>
              <w:cnfStyle w:val="000000000000" w:firstRow="0" w:lastRow="0" w:firstColumn="0" w:lastColumn="0" w:oddVBand="0" w:evenVBand="0" w:oddHBand="0" w:evenHBand="0" w:firstRowFirstColumn="0" w:firstRowLastColumn="0" w:lastRowFirstColumn="0" w:lastRowLastColumn="0"/>
              <w:rPr>
                <w:color w:val="1F497D"/>
              </w:rPr>
            </w:pPr>
            <w:r>
              <w:rPr>
                <w:color w:val="1F497D"/>
              </w:rPr>
              <w:t xml:space="preserve">when a failure to rollback occurs and the issue has not been resolved after investigation; what state will the meter be in? If replacement is the only option then it should be stated in this document. </w:t>
            </w:r>
          </w:p>
          <w:p w14:paraId="510024A6" w14:textId="77777777" w:rsidR="00AB3655" w:rsidRDefault="00AB3655" w:rsidP="00AB3655">
            <w:pPr>
              <w:cnfStyle w:val="000000000000" w:firstRow="0" w:lastRow="0" w:firstColumn="0" w:lastColumn="0" w:oddVBand="0" w:evenVBand="0" w:oddHBand="0" w:evenHBand="0" w:firstRowFirstColumn="0" w:firstRowLastColumn="0" w:lastRowFirstColumn="0" w:lastRowLastColumn="0"/>
              <w:rPr>
                <w:color w:val="1F497D"/>
              </w:rPr>
            </w:pPr>
          </w:p>
          <w:p w14:paraId="0D8AD7BD" w14:textId="77777777" w:rsidR="00AB3655" w:rsidRDefault="00AB3655" w:rsidP="00AB3655">
            <w:pPr>
              <w:cnfStyle w:val="000000000000" w:firstRow="0" w:lastRow="0" w:firstColumn="0" w:lastColumn="0" w:oddVBand="0" w:evenVBand="0" w:oddHBand="0" w:evenHBand="0" w:firstRowFirstColumn="0" w:firstRowLastColumn="0" w:lastRowFirstColumn="0" w:lastRowLastColumn="0"/>
              <w:rPr>
                <w:b/>
                <w:bCs/>
                <w:color w:val="1F497D"/>
              </w:rPr>
            </w:pPr>
            <w:r>
              <w:rPr>
                <w:b/>
                <w:bCs/>
                <w:color w:val="1F497D"/>
              </w:rPr>
              <w:t>2.6.6      Commission Device (CHF) failure</w:t>
            </w:r>
          </w:p>
          <w:p w14:paraId="58E58138" w14:textId="5346F799" w:rsidR="00CC6421" w:rsidRPr="00AB3655" w:rsidRDefault="00AB3655" w:rsidP="00AB3655">
            <w:pPr>
              <w:pStyle w:val="ListParagraph"/>
              <w:numPr>
                <w:ilvl w:val="0"/>
                <w:numId w:val="42"/>
              </w:numPr>
              <w:spacing w:before="0" w:after="0"/>
              <w:contextualSpacing w:val="0"/>
              <w:cnfStyle w:val="000000000000" w:firstRow="0" w:lastRow="0" w:firstColumn="0" w:lastColumn="0" w:oddVBand="0" w:evenVBand="0" w:oddHBand="0" w:evenHBand="0" w:firstRowFirstColumn="0" w:firstRowLastColumn="0" w:lastRowFirstColumn="0" w:lastRowLastColumn="0"/>
              <w:rPr>
                <w:color w:val="1F497D"/>
              </w:rPr>
            </w:pPr>
            <w:r>
              <w:rPr>
                <w:color w:val="1F497D"/>
              </w:rPr>
              <w:t>it is not clear what state the meter will be left in and what the suppliers recommended action should be in these circumstances</w:t>
            </w:r>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96DA1" w14:textId="77777777" w:rsidR="00075B3D" w:rsidRDefault="00075B3D" w:rsidP="00FA568E">
      <w:pPr>
        <w:spacing w:after="0"/>
      </w:pPr>
      <w:r>
        <w:separator/>
      </w:r>
    </w:p>
  </w:endnote>
  <w:endnote w:type="continuationSeparator" w:id="0">
    <w:p w14:paraId="1F6F2F77" w14:textId="77777777" w:rsidR="00075B3D" w:rsidRDefault="00075B3D" w:rsidP="00FA568E">
      <w:pPr>
        <w:spacing w:after="0"/>
      </w:pPr>
      <w:r>
        <w:continuationSeparator/>
      </w:r>
    </w:p>
  </w:endnote>
  <w:endnote w:type="continuationNotice" w:id="1">
    <w:p w14:paraId="54990777" w14:textId="77777777" w:rsidR="00075B3D" w:rsidRDefault="00075B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A2B3" w14:textId="77777777" w:rsidR="00CF39B6" w:rsidRDefault="00CF3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840"/>
      <w:gridCol w:w="4840"/>
      <w:gridCol w:w="4843"/>
    </w:tblGrid>
    <w:tr w:rsidR="00E34ABA" w:rsidRPr="00F8524C" w14:paraId="35FCC390" w14:textId="77777777" w:rsidTr="002B6D09">
      <w:tc>
        <w:tcPr>
          <w:tcW w:w="1666" w:type="pct"/>
        </w:tcPr>
        <w:p w14:paraId="2DEE08F5" w14:textId="79654A69" w:rsidR="00E34ABA" w:rsidRDefault="00404F6A" w:rsidP="00F37854">
          <w:pPr>
            <w:pStyle w:val="Footer"/>
            <w:rPr>
              <w:sz w:val="20"/>
              <w:szCs w:val="20"/>
            </w:rPr>
          </w:pPr>
          <w:r>
            <w:rPr>
              <w:sz w:val="20"/>
              <w:szCs w:val="20"/>
            </w:rPr>
            <w:t>MAM Consultation Response</w:t>
          </w:r>
        </w:p>
      </w:tc>
      <w:tc>
        <w:tcPr>
          <w:tcW w:w="1666" w:type="pct"/>
        </w:tcPr>
        <w:p w14:paraId="1FDA7819" w14:textId="2BD4DB6C" w:rsidR="00E34ABA" w:rsidRDefault="00A8498E" w:rsidP="002B6D09">
          <w:pPr>
            <w:pStyle w:val="Footer"/>
            <w:jc w:val="center"/>
            <w:rPr>
              <w:sz w:val="20"/>
              <w:szCs w:val="20"/>
            </w:rPr>
          </w:pPr>
          <w:r>
            <w:rPr>
              <w:sz w:val="20"/>
              <w:szCs w:val="20"/>
            </w:rPr>
            <w:fldChar w:fldCharType="begin"/>
          </w:r>
          <w:r>
            <w:rPr>
              <w:sz w:val="20"/>
              <w:szCs w:val="20"/>
            </w:rPr>
            <w:instrText xml:space="preserve"> REF Classification \h  \* MERGEFORMAT </w:instrText>
          </w:r>
          <w:r>
            <w:rPr>
              <w:sz w:val="20"/>
              <w:szCs w:val="20"/>
            </w:rPr>
          </w:r>
          <w:r>
            <w:rPr>
              <w:sz w:val="20"/>
              <w:szCs w:val="20"/>
            </w:rPr>
            <w:fldChar w:fldCharType="separate"/>
          </w:r>
          <w:r w:rsidRPr="00967ED8">
            <w:t xml:space="preserve">DCC </w:t>
          </w:r>
          <w:r>
            <w:rPr>
              <w:sz w:val="20"/>
              <w:szCs w:val="20"/>
            </w:rPr>
            <w:fldChar w:fldCharType="end"/>
          </w:r>
          <w:r w:rsidR="00884584">
            <w:rPr>
              <w:sz w:val="20"/>
              <w:szCs w:val="20"/>
            </w:rPr>
            <w:t>PUBLIC</w:t>
          </w:r>
          <w:bookmarkStart w:id="1" w:name="_GoBack"/>
          <w:bookmarkEnd w:id="1"/>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B3655">
            <w:rPr>
              <w:bCs/>
              <w:noProof/>
              <w:sz w:val="20"/>
              <w:szCs w:val="20"/>
            </w:rPr>
            <w:t>1</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B3655">
            <w:rPr>
              <w:bCs/>
              <w:noProof/>
              <w:sz w:val="20"/>
              <w:szCs w:val="20"/>
            </w:rPr>
            <w:t>4</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BD7B5" w14:textId="77777777" w:rsidR="00CF39B6" w:rsidRDefault="00CF3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12C13" w14:textId="77777777" w:rsidR="00075B3D" w:rsidRDefault="00075B3D" w:rsidP="00FA568E">
      <w:pPr>
        <w:spacing w:after="0"/>
      </w:pPr>
      <w:r>
        <w:separator/>
      </w:r>
    </w:p>
  </w:footnote>
  <w:footnote w:type="continuationSeparator" w:id="0">
    <w:p w14:paraId="23203414" w14:textId="77777777" w:rsidR="00075B3D" w:rsidRDefault="00075B3D" w:rsidP="00FA568E">
      <w:pPr>
        <w:spacing w:after="0"/>
      </w:pPr>
      <w:r>
        <w:continuationSeparator/>
      </w:r>
    </w:p>
  </w:footnote>
  <w:footnote w:type="continuationNotice" w:id="1">
    <w:p w14:paraId="704B2B43" w14:textId="77777777" w:rsidR="00075B3D" w:rsidRDefault="00075B3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5077" w14:textId="77777777" w:rsidR="00CF39B6" w:rsidRDefault="00CF3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82D1" w14:textId="49C5ACC1" w:rsidR="0052508C" w:rsidRDefault="0052508C" w:rsidP="0052508C">
    <w:pPr>
      <w:pStyle w:val="DocumentControlHeading"/>
    </w:pPr>
    <w:r>
      <w:t>Response to DCC Consultation</w:t>
    </w:r>
    <w:r w:rsidR="00BB0E24">
      <w:t xml:space="preserve"> from </w:t>
    </w:r>
    <w:r w:rsidR="00233DEA">
      <w:t>[Respondent to add</w:t>
    </w:r>
    <w:r w:rsidR="00BB0E24">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E9AE" w14:textId="77777777" w:rsidR="00CF39B6" w:rsidRDefault="00CF3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3E2294C"/>
    <w:multiLevelType w:val="hybridMultilevel"/>
    <w:tmpl w:val="7BCCD1B8"/>
    <w:lvl w:ilvl="0" w:tplc="AC62964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942CC"/>
    <w:multiLevelType w:val="hybridMultilevel"/>
    <w:tmpl w:val="796E0E84"/>
    <w:lvl w:ilvl="0" w:tplc="A7D041A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2"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3"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0A63D9"/>
    <w:multiLevelType w:val="hybridMultilevel"/>
    <w:tmpl w:val="F60A67CC"/>
    <w:lvl w:ilvl="0" w:tplc="A7D041A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30"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32"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9C71A9A"/>
    <w:multiLevelType w:val="hybridMultilevel"/>
    <w:tmpl w:val="778828C0"/>
    <w:lvl w:ilvl="0" w:tplc="A7D041A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2"/>
  </w:num>
  <w:num w:numId="4">
    <w:abstractNumId w:val="29"/>
  </w:num>
  <w:num w:numId="5">
    <w:abstractNumId w:val="31"/>
  </w:num>
  <w:num w:numId="6">
    <w:abstractNumId w:val="14"/>
  </w:num>
  <w:num w:numId="7">
    <w:abstractNumId w:val="7"/>
  </w:num>
  <w:num w:numId="8">
    <w:abstractNumId w:val="10"/>
  </w:num>
  <w:num w:numId="9">
    <w:abstractNumId w:val="4"/>
  </w:num>
  <w:num w:numId="10">
    <w:abstractNumId w:val="12"/>
  </w:num>
  <w:num w:numId="11">
    <w:abstractNumId w:val="15"/>
  </w:num>
  <w:num w:numId="12">
    <w:abstractNumId w:val="21"/>
  </w:num>
  <w:num w:numId="13">
    <w:abstractNumId w:val="33"/>
  </w:num>
  <w:num w:numId="14">
    <w:abstractNumId w:val="1"/>
  </w:num>
  <w:num w:numId="15">
    <w:abstractNumId w:val="27"/>
  </w:num>
  <w:num w:numId="16">
    <w:abstractNumId w:val="24"/>
  </w:num>
  <w:num w:numId="17">
    <w:abstractNumId w:val="26"/>
  </w:num>
  <w:num w:numId="18">
    <w:abstractNumId w:val="11"/>
  </w:num>
  <w:num w:numId="19">
    <w:abstractNumId w:val="8"/>
  </w:num>
  <w:num w:numId="20">
    <w:abstractNumId w:val="3"/>
  </w:num>
  <w:num w:numId="21">
    <w:abstractNumId w:val="13"/>
  </w:num>
  <w:num w:numId="22">
    <w:abstractNumId w:val="23"/>
  </w:num>
  <w:num w:numId="23">
    <w:abstractNumId w:val="22"/>
  </w:num>
  <w:num w:numId="24">
    <w:abstractNumId w:val="25"/>
  </w:num>
  <w:num w:numId="25">
    <w:abstractNumId w:val="30"/>
  </w:num>
  <w:num w:numId="26">
    <w:abstractNumId w:val="32"/>
  </w:num>
  <w:num w:numId="27">
    <w:abstractNumId w:val="9"/>
  </w:num>
  <w:num w:numId="28">
    <w:abstractNumId w:val="17"/>
  </w:num>
  <w:num w:numId="29">
    <w:abstractNumId w:val="19"/>
  </w:num>
  <w:num w:numId="30">
    <w:abstractNumId w:val="6"/>
  </w:num>
  <w:num w:numId="31">
    <w:abstractNumId w:val="36"/>
  </w:num>
  <w:num w:numId="32">
    <w:abstractNumId w:val="5"/>
  </w:num>
  <w:num w:numId="33">
    <w:abstractNumId w:val="20"/>
  </w:num>
  <w:num w:numId="34">
    <w:abstractNumId w:val="34"/>
  </w:num>
  <w:num w:numId="35">
    <w:abstractNumId w:val="33"/>
  </w:num>
  <w:num w:numId="36">
    <w:abstractNumId w:val="33"/>
  </w:num>
  <w:num w:numId="37">
    <w:abstractNumId w:val="33"/>
  </w:num>
  <w:num w:numId="38">
    <w:abstractNumId w:val="33"/>
  </w:num>
  <w:num w:numId="39">
    <w:abstractNumId w:val="35"/>
  </w:num>
  <w:num w:numId="40">
    <w:abstractNumId w:val="16"/>
  </w:num>
  <w:num w:numId="41">
    <w:abstractNumId w:val="28"/>
  </w:num>
  <w:num w:numId="4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30A4"/>
    <w:rsid w:val="00055BB5"/>
    <w:rsid w:val="00056367"/>
    <w:rsid w:val="00056889"/>
    <w:rsid w:val="000574A0"/>
    <w:rsid w:val="00062D5C"/>
    <w:rsid w:val="00064C0A"/>
    <w:rsid w:val="00065B5E"/>
    <w:rsid w:val="00067235"/>
    <w:rsid w:val="00070535"/>
    <w:rsid w:val="00071310"/>
    <w:rsid w:val="00073134"/>
    <w:rsid w:val="000751CC"/>
    <w:rsid w:val="00075421"/>
    <w:rsid w:val="00075A86"/>
    <w:rsid w:val="00075B3D"/>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51C"/>
    <w:rsid w:val="001045FA"/>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76DB"/>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2B39"/>
    <w:rsid w:val="002C4A1A"/>
    <w:rsid w:val="002C4C22"/>
    <w:rsid w:val="002C591C"/>
    <w:rsid w:val="002C7787"/>
    <w:rsid w:val="002D0512"/>
    <w:rsid w:val="002D11E8"/>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5F3"/>
    <w:rsid w:val="003113AE"/>
    <w:rsid w:val="00311582"/>
    <w:rsid w:val="00311604"/>
    <w:rsid w:val="00312917"/>
    <w:rsid w:val="00313F9C"/>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D529C"/>
    <w:rsid w:val="003E299D"/>
    <w:rsid w:val="003E56AB"/>
    <w:rsid w:val="003E636B"/>
    <w:rsid w:val="003E6D71"/>
    <w:rsid w:val="003E6E88"/>
    <w:rsid w:val="003F02A3"/>
    <w:rsid w:val="003F0835"/>
    <w:rsid w:val="003F1332"/>
    <w:rsid w:val="003F24C9"/>
    <w:rsid w:val="003F254A"/>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74E0"/>
    <w:rsid w:val="004277F0"/>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8"/>
    <w:rsid w:val="00467397"/>
    <w:rsid w:val="00471162"/>
    <w:rsid w:val="004714CC"/>
    <w:rsid w:val="00474571"/>
    <w:rsid w:val="00475136"/>
    <w:rsid w:val="004777E2"/>
    <w:rsid w:val="004778F6"/>
    <w:rsid w:val="00477B3F"/>
    <w:rsid w:val="00482194"/>
    <w:rsid w:val="0048355A"/>
    <w:rsid w:val="004843F8"/>
    <w:rsid w:val="004868BC"/>
    <w:rsid w:val="0048727F"/>
    <w:rsid w:val="00487292"/>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549"/>
    <w:rsid w:val="005C4713"/>
    <w:rsid w:val="005C523A"/>
    <w:rsid w:val="005C66C0"/>
    <w:rsid w:val="005D02FF"/>
    <w:rsid w:val="005D2339"/>
    <w:rsid w:val="005D3420"/>
    <w:rsid w:val="005D515A"/>
    <w:rsid w:val="005D56FB"/>
    <w:rsid w:val="005D6853"/>
    <w:rsid w:val="005D6E06"/>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68D1"/>
    <w:rsid w:val="00617262"/>
    <w:rsid w:val="0062022E"/>
    <w:rsid w:val="0062100A"/>
    <w:rsid w:val="006211CA"/>
    <w:rsid w:val="00621816"/>
    <w:rsid w:val="00622660"/>
    <w:rsid w:val="006226C4"/>
    <w:rsid w:val="00623622"/>
    <w:rsid w:val="00623A40"/>
    <w:rsid w:val="00624C61"/>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E010B"/>
    <w:rsid w:val="006E0C28"/>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102B4"/>
    <w:rsid w:val="00711F1A"/>
    <w:rsid w:val="00713E88"/>
    <w:rsid w:val="00714998"/>
    <w:rsid w:val="0071784A"/>
    <w:rsid w:val="00720E9D"/>
    <w:rsid w:val="00721005"/>
    <w:rsid w:val="007212A7"/>
    <w:rsid w:val="00721324"/>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7626"/>
    <w:rsid w:val="0076061C"/>
    <w:rsid w:val="007617AC"/>
    <w:rsid w:val="00765684"/>
    <w:rsid w:val="00765B73"/>
    <w:rsid w:val="00772CE4"/>
    <w:rsid w:val="00772D02"/>
    <w:rsid w:val="0077467B"/>
    <w:rsid w:val="00774879"/>
    <w:rsid w:val="00774C57"/>
    <w:rsid w:val="00777926"/>
    <w:rsid w:val="007800EC"/>
    <w:rsid w:val="00780202"/>
    <w:rsid w:val="00780889"/>
    <w:rsid w:val="00781B98"/>
    <w:rsid w:val="00781C63"/>
    <w:rsid w:val="00781E88"/>
    <w:rsid w:val="00781EB0"/>
    <w:rsid w:val="00782B0B"/>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5519"/>
    <w:rsid w:val="007A5881"/>
    <w:rsid w:val="007A589F"/>
    <w:rsid w:val="007A7CD8"/>
    <w:rsid w:val="007B213A"/>
    <w:rsid w:val="007B2A87"/>
    <w:rsid w:val="007B4A68"/>
    <w:rsid w:val="007B5812"/>
    <w:rsid w:val="007B5D20"/>
    <w:rsid w:val="007B6330"/>
    <w:rsid w:val="007B6706"/>
    <w:rsid w:val="007B6F28"/>
    <w:rsid w:val="007B7593"/>
    <w:rsid w:val="007C0A98"/>
    <w:rsid w:val="007C11D3"/>
    <w:rsid w:val="007C1245"/>
    <w:rsid w:val="007C124D"/>
    <w:rsid w:val="007C1E82"/>
    <w:rsid w:val="007C2172"/>
    <w:rsid w:val="007C33D4"/>
    <w:rsid w:val="007C3A9C"/>
    <w:rsid w:val="007C4609"/>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E0EA2"/>
    <w:rsid w:val="007E149E"/>
    <w:rsid w:val="007E15B7"/>
    <w:rsid w:val="007E1D76"/>
    <w:rsid w:val="007E1EBE"/>
    <w:rsid w:val="007E20BB"/>
    <w:rsid w:val="007E24AE"/>
    <w:rsid w:val="007E2914"/>
    <w:rsid w:val="007E29CF"/>
    <w:rsid w:val="007E3ED4"/>
    <w:rsid w:val="007E6E1B"/>
    <w:rsid w:val="007E6F6A"/>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49DC"/>
    <w:rsid w:val="008328A2"/>
    <w:rsid w:val="008334B6"/>
    <w:rsid w:val="00833BD8"/>
    <w:rsid w:val="008347C4"/>
    <w:rsid w:val="008352E1"/>
    <w:rsid w:val="00836564"/>
    <w:rsid w:val="00837319"/>
    <w:rsid w:val="00842425"/>
    <w:rsid w:val="00843E2E"/>
    <w:rsid w:val="008449C1"/>
    <w:rsid w:val="00846A64"/>
    <w:rsid w:val="00847693"/>
    <w:rsid w:val="00847DF3"/>
    <w:rsid w:val="00851467"/>
    <w:rsid w:val="00852DC5"/>
    <w:rsid w:val="008536C7"/>
    <w:rsid w:val="00853B4E"/>
    <w:rsid w:val="0085437A"/>
    <w:rsid w:val="00855312"/>
    <w:rsid w:val="0085686D"/>
    <w:rsid w:val="00856D07"/>
    <w:rsid w:val="008575A9"/>
    <w:rsid w:val="0085797B"/>
    <w:rsid w:val="00861015"/>
    <w:rsid w:val="00863FA7"/>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5C4"/>
    <w:rsid w:val="008B2DC0"/>
    <w:rsid w:val="008B353A"/>
    <w:rsid w:val="008B39FF"/>
    <w:rsid w:val="008B5ADB"/>
    <w:rsid w:val="008B5F33"/>
    <w:rsid w:val="008B7164"/>
    <w:rsid w:val="008B72FB"/>
    <w:rsid w:val="008C04AF"/>
    <w:rsid w:val="008C1F11"/>
    <w:rsid w:val="008C618F"/>
    <w:rsid w:val="008C67CE"/>
    <w:rsid w:val="008C6BA2"/>
    <w:rsid w:val="008C6F7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75D"/>
    <w:rsid w:val="00994113"/>
    <w:rsid w:val="00994197"/>
    <w:rsid w:val="00995FDB"/>
    <w:rsid w:val="00996848"/>
    <w:rsid w:val="00997516"/>
    <w:rsid w:val="009A1BBD"/>
    <w:rsid w:val="009A2EB3"/>
    <w:rsid w:val="009A77C8"/>
    <w:rsid w:val="009A7B67"/>
    <w:rsid w:val="009A7FCE"/>
    <w:rsid w:val="009B3148"/>
    <w:rsid w:val="009B57B4"/>
    <w:rsid w:val="009B5EC7"/>
    <w:rsid w:val="009B7111"/>
    <w:rsid w:val="009C111C"/>
    <w:rsid w:val="009C2F78"/>
    <w:rsid w:val="009C335B"/>
    <w:rsid w:val="009C3D84"/>
    <w:rsid w:val="009C5345"/>
    <w:rsid w:val="009C65DA"/>
    <w:rsid w:val="009C685F"/>
    <w:rsid w:val="009C6966"/>
    <w:rsid w:val="009C6F0C"/>
    <w:rsid w:val="009C7AD3"/>
    <w:rsid w:val="009D00A5"/>
    <w:rsid w:val="009D22A3"/>
    <w:rsid w:val="009D2DEA"/>
    <w:rsid w:val="009D65CC"/>
    <w:rsid w:val="009D7B53"/>
    <w:rsid w:val="009E003A"/>
    <w:rsid w:val="009E05F1"/>
    <w:rsid w:val="009E21D1"/>
    <w:rsid w:val="009E276F"/>
    <w:rsid w:val="009E2965"/>
    <w:rsid w:val="009E2DF0"/>
    <w:rsid w:val="009E2E6D"/>
    <w:rsid w:val="009E3938"/>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2136"/>
    <w:rsid w:val="00A75059"/>
    <w:rsid w:val="00A75FEF"/>
    <w:rsid w:val="00A76956"/>
    <w:rsid w:val="00A76B31"/>
    <w:rsid w:val="00A76C49"/>
    <w:rsid w:val="00A771CB"/>
    <w:rsid w:val="00A80CEF"/>
    <w:rsid w:val="00A8198D"/>
    <w:rsid w:val="00A8210A"/>
    <w:rsid w:val="00A83B23"/>
    <w:rsid w:val="00A8498E"/>
    <w:rsid w:val="00A8523F"/>
    <w:rsid w:val="00A87136"/>
    <w:rsid w:val="00A87CA9"/>
    <w:rsid w:val="00A92F82"/>
    <w:rsid w:val="00A94C54"/>
    <w:rsid w:val="00A95E22"/>
    <w:rsid w:val="00A9763E"/>
    <w:rsid w:val="00AA16A9"/>
    <w:rsid w:val="00AA46DD"/>
    <w:rsid w:val="00AA7448"/>
    <w:rsid w:val="00AA7A58"/>
    <w:rsid w:val="00AA7FBF"/>
    <w:rsid w:val="00AB1575"/>
    <w:rsid w:val="00AB3655"/>
    <w:rsid w:val="00AB3DB3"/>
    <w:rsid w:val="00AB414D"/>
    <w:rsid w:val="00AB56E5"/>
    <w:rsid w:val="00AB6291"/>
    <w:rsid w:val="00AB6765"/>
    <w:rsid w:val="00AB6CE7"/>
    <w:rsid w:val="00AB742A"/>
    <w:rsid w:val="00AB751B"/>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226E"/>
    <w:rsid w:val="00B624D8"/>
    <w:rsid w:val="00B6377A"/>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86663"/>
    <w:rsid w:val="00B90E83"/>
    <w:rsid w:val="00B9188C"/>
    <w:rsid w:val="00B91908"/>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419B1"/>
    <w:rsid w:val="00C42582"/>
    <w:rsid w:val="00C43B8E"/>
    <w:rsid w:val="00C43BFD"/>
    <w:rsid w:val="00C45908"/>
    <w:rsid w:val="00C45A0A"/>
    <w:rsid w:val="00C45BBB"/>
    <w:rsid w:val="00C46536"/>
    <w:rsid w:val="00C470F4"/>
    <w:rsid w:val="00C4777E"/>
    <w:rsid w:val="00C510F2"/>
    <w:rsid w:val="00C522DE"/>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53B7"/>
    <w:rsid w:val="00C90745"/>
    <w:rsid w:val="00C9122E"/>
    <w:rsid w:val="00C928F0"/>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834"/>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39B6"/>
    <w:rsid w:val="00CF4833"/>
    <w:rsid w:val="00CF4992"/>
    <w:rsid w:val="00CF54D7"/>
    <w:rsid w:val="00D01E16"/>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3BB1"/>
    <w:rsid w:val="00D85319"/>
    <w:rsid w:val="00D866C7"/>
    <w:rsid w:val="00D86D5B"/>
    <w:rsid w:val="00D87D62"/>
    <w:rsid w:val="00D903AB"/>
    <w:rsid w:val="00D90B9B"/>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5040C"/>
    <w:rsid w:val="00E516F3"/>
    <w:rsid w:val="00E534C6"/>
    <w:rsid w:val="00E538B7"/>
    <w:rsid w:val="00E539B8"/>
    <w:rsid w:val="00E53CB3"/>
    <w:rsid w:val="00E54D15"/>
    <w:rsid w:val="00E55C08"/>
    <w:rsid w:val="00E56B9E"/>
    <w:rsid w:val="00E60651"/>
    <w:rsid w:val="00E62357"/>
    <w:rsid w:val="00E62E04"/>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C85"/>
    <w:rsid w:val="00F22F28"/>
    <w:rsid w:val="00F239C5"/>
    <w:rsid w:val="00F250ED"/>
    <w:rsid w:val="00F255B7"/>
    <w:rsid w:val="00F26796"/>
    <w:rsid w:val="00F2706B"/>
    <w:rsid w:val="00F27273"/>
    <w:rsid w:val="00F27AB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806FF"/>
    <w:rsid w:val="00F80CD1"/>
    <w:rsid w:val="00F824D5"/>
    <w:rsid w:val="00F8486D"/>
    <w:rsid w:val="00F8524C"/>
    <w:rsid w:val="00F85DCE"/>
    <w:rsid w:val="00F86380"/>
    <w:rsid w:val="00F872D6"/>
    <w:rsid w:val="00F9009E"/>
    <w:rsid w:val="00F90A1C"/>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C90"/>
    <w:rsid w:val="00FF4D13"/>
    <w:rsid w:val="00FF4EC2"/>
    <w:rsid w:val="00FF56F3"/>
    <w:rsid w:val="00FF61A4"/>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customStyle="1" w:styleId="UnresolvedMention1">
    <w:name w:val="Unresolved Mention1"/>
    <w:basedOn w:val="DefaultParagraphFont"/>
    <w:uiPriority w:val="99"/>
    <w:semiHidden/>
    <w:unhideWhenUsed/>
    <w:rsid w:val="00B8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82840092">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404056">
      <w:bodyDiv w:val="1"/>
      <w:marLeft w:val="0"/>
      <w:marRight w:val="0"/>
      <w:marTop w:val="0"/>
      <w:marBottom w:val="0"/>
      <w:divBdr>
        <w:top w:val="none" w:sz="0" w:space="0" w:color="auto"/>
        <w:left w:val="none" w:sz="0" w:space="0" w:color="auto"/>
        <w:bottom w:val="none" w:sz="0" w:space="0" w:color="auto"/>
        <w:right w:val="none" w:sz="0" w:space="0" w:color="auto"/>
      </w:divBdr>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54872914">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73076146">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olment.adoption@smartdc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98343-298B-4AB6-82B4-2B2DBB66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2019-07-03T13:49:00Z</dcterms:created>
  <dcterms:modified xsi:type="dcterms:W3CDTF">2019-07-29T09:26:00Z</dcterms:modified>
</cp:coreProperties>
</file>