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64FA1E5C" w:rsidR="008556FA" w:rsidRPr="006D09B3" w:rsidRDefault="00496C9D" w:rsidP="00820FA9">
      <w:pPr>
        <w:spacing w:after="200"/>
        <w:ind w:left="720" w:hanging="720"/>
        <w:jc w:val="right"/>
        <w:rPr>
          <w:b/>
          <w:sz w:val="32"/>
          <w:szCs w:val="32"/>
        </w:rPr>
      </w:pPr>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r w:rsidR="008A2F9C">
        <w:rPr>
          <w:b/>
          <w:sz w:val="32"/>
          <w:szCs w:val="32"/>
        </w:rPr>
        <w:t>3</w:t>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76EE6669"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1" w:name="_Ref491184132"/>
      <w:r>
        <w:rPr>
          <w:rFonts w:ascii="Times New Roman" w:hAnsi="Times New Roman" w:cs="Times New Roman"/>
          <w:szCs w:val="24"/>
        </w:rPr>
        <w:t>Device IDs</w:t>
      </w:r>
      <w:bookmarkEnd w:id="1"/>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2" w:name="_Ref491165555"/>
      <w:r>
        <w:t xml:space="preserve">Table </w:t>
      </w:r>
      <w:fldSimple w:instr=" SEQ Table \* ARABIC ">
        <w:r w:rsidR="00C80262">
          <w:rPr>
            <w:noProof/>
          </w:rPr>
          <w:t>1</w:t>
        </w:r>
      </w:fldSimple>
      <w:bookmarkEnd w:id="2"/>
    </w:p>
    <w:p w14:paraId="2294FC37" w14:textId="77777777" w:rsidR="00010C51" w:rsidRPr="00DC54BD" w:rsidRDefault="00010C51" w:rsidP="00010C51">
      <w:pPr>
        <w:pStyle w:val="Heading1"/>
        <w:rPr>
          <w:rFonts w:ascii="Times New Roman" w:hAnsi="Times New Roman" w:cs="Times New Roman"/>
          <w:szCs w:val="24"/>
        </w:rPr>
      </w:pPr>
      <w:bookmarkStart w:id="3" w:name="_Ref491184009"/>
      <w:r>
        <w:rPr>
          <w:rFonts w:ascii="Times New Roman" w:hAnsi="Times New Roman" w:cs="Times New Roman"/>
          <w:szCs w:val="24"/>
        </w:rPr>
        <w:t>User IDs</w:t>
      </w:r>
      <w:bookmarkEnd w:id="3"/>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4" w:name="_Ref495483886"/>
      <w:r>
        <w:rPr>
          <w:rFonts w:ascii="Times New Roman" w:hAnsi="Times New Roman" w:cs="Times New Roman"/>
          <w:szCs w:val="24"/>
        </w:rPr>
        <w:t>Originator Counters</w:t>
      </w:r>
      <w:bookmarkEnd w:id="4"/>
    </w:p>
    <w:p w14:paraId="63D6C5ED" w14:textId="77777777" w:rsidR="005067C6" w:rsidRPr="008C4F88" w:rsidRDefault="004072DA" w:rsidP="00616969">
      <w:pPr>
        <w:pStyle w:val="Heading2"/>
        <w:numPr>
          <w:ilvl w:val="1"/>
          <w:numId w:val="8"/>
        </w:numPr>
        <w:rPr>
          <w:rFonts w:cs="Times New Roman"/>
          <w:szCs w:val="24"/>
        </w:rPr>
      </w:pPr>
      <w:bookmarkStart w:id="5"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5"/>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6"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6"/>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7"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7"/>
    </w:p>
    <w:p w14:paraId="7F2DA419" w14:textId="722407C3" w:rsidR="0097747B" w:rsidRDefault="00380704" w:rsidP="0097747B">
      <w:pPr>
        <w:pStyle w:val="Heading3"/>
        <w:rPr>
          <w:rFonts w:cs="Times New Roman"/>
          <w:szCs w:val="24"/>
        </w:rPr>
      </w:pPr>
      <w:bookmarkStart w:id="8"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8"/>
    </w:p>
    <w:p w14:paraId="14FD5D1A" w14:textId="2A281B98" w:rsidR="00C21D3A" w:rsidRDefault="00C21D3A" w:rsidP="00C21D3A">
      <w:pPr>
        <w:pStyle w:val="Heading3"/>
        <w:rPr>
          <w:rFonts w:cs="Times New Roman"/>
          <w:szCs w:val="24"/>
        </w:rPr>
      </w:pPr>
      <w:bookmarkStart w:id="9"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9"/>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10"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0"/>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1"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3" w:name="_Ref491175180"/>
      <w:r>
        <w:t xml:space="preserve">Table </w:t>
      </w:r>
      <w:fldSimple w:instr=" SEQ Table \* ARABIC ">
        <w:r w:rsidR="00C80262">
          <w:rPr>
            <w:noProof/>
          </w:rPr>
          <w:t>2</w:t>
        </w:r>
      </w:fldSimple>
      <w:bookmarkEnd w:id="13"/>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4"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7"/>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19"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1"/>
    </w:p>
    <w:p w14:paraId="421602AA" w14:textId="77777777" w:rsidR="00D57F21" w:rsidRPr="00D57F21" w:rsidRDefault="004660EB" w:rsidP="004660EB">
      <w:pPr>
        <w:pStyle w:val="Heading3"/>
      </w:pPr>
      <w:bookmarkStart w:id="22"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2"/>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26"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5"/>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27" w:name="_Ref491175167"/>
      <w:r>
        <w:t xml:space="preserve">Table </w:t>
      </w:r>
      <w:fldSimple w:instr=" SEQ Table \* ARABIC ">
        <w:r w:rsidR="00C80262">
          <w:rPr>
            <w:noProof/>
          </w:rPr>
          <w:t>3</w:t>
        </w:r>
      </w:fldSimple>
      <w:bookmarkEnd w:id="27"/>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30" w:name="_Ref495414093"/>
      <w:r>
        <w:lastRenderedPageBreak/>
        <w:t xml:space="preserve">Table </w:t>
      </w:r>
      <w:fldSimple w:instr=" SEQ Table \* ARABIC ">
        <w:r w:rsidR="00C80262">
          <w:rPr>
            <w:noProof/>
          </w:rPr>
          <w:t>4</w:t>
        </w:r>
      </w:fldSimple>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1"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2" w:name="_Ref491171661"/>
      <w:bookmarkEnd w:id="31"/>
      <w:r>
        <w:t xml:space="preserve">Table </w:t>
      </w:r>
      <w:fldSimple w:instr=" SEQ Table \* ARABIC ">
        <w:r w:rsidR="00C80262">
          <w:rPr>
            <w:noProof/>
          </w:rPr>
          <w:t>5</w:t>
        </w:r>
      </w:fldSimple>
      <w:bookmarkEnd w:id="32"/>
    </w:p>
    <w:p w14:paraId="401C50AE" w14:textId="786FDE2C" w:rsidR="000D2955" w:rsidRP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4" w:name="_Ref491431861"/>
      <w:r>
        <w:t xml:space="preserve">Table </w:t>
      </w:r>
      <w:fldSimple w:instr=" SEQ Table \* ARABIC ">
        <w:r w:rsidR="00C80262">
          <w:rPr>
            <w:noProof/>
          </w:rPr>
          <w:t>6</w:t>
        </w:r>
      </w:fldSimple>
      <w:bookmarkEnd w:id="34"/>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35" w:name="_Ref495317536"/>
      <w:r>
        <w:t xml:space="preserve">Table </w:t>
      </w:r>
      <w:fldSimple w:instr=" SEQ Table \* ARABIC ">
        <w:r w:rsidR="00C80262">
          <w:rPr>
            <w:noProof/>
          </w:rPr>
          <w:t>7</w:t>
        </w:r>
      </w:fldSimple>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1" w:name="_Ref496190440"/>
      <w:r>
        <w:t xml:space="preserve">Table </w:t>
      </w:r>
      <w:fldSimple w:instr=" SEQ Table \* ARABIC ">
        <w:r w:rsidR="00C80262">
          <w:rPr>
            <w:noProof/>
          </w:rPr>
          <w:t>8</w:t>
        </w:r>
      </w:fldSimple>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3"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7"/>
    </w:p>
    <w:p w14:paraId="2D7F5D72" w14:textId="77777777" w:rsidR="00532BF6" w:rsidRDefault="00513EB7" w:rsidP="00616969">
      <w:pPr>
        <w:pStyle w:val="Heading2"/>
        <w:numPr>
          <w:ilvl w:val="1"/>
          <w:numId w:val="8"/>
        </w:numPr>
      </w:pPr>
      <w:bookmarkStart w:id="48"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4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9" w:name="_A_SMETS1_ESME"/>
      <w:bookmarkEnd w:id="4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0" w:name="_In_populating_the"/>
      <w:bookmarkEnd w:id="5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1" w:name="_Ref495504926"/>
      <w:r>
        <w:t xml:space="preserve">Table </w:t>
      </w:r>
      <w:fldSimple w:instr=" SEQ Table \* ARABIC ">
        <w:r w:rsidR="00C80262">
          <w:rPr>
            <w:noProof/>
          </w:rPr>
          <w:t>9</w:t>
        </w:r>
      </w:fldSimple>
      <w:bookmarkEnd w:id="5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2"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2"/>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3" w:name="_Ref520984"/>
      <w:r>
        <w:t>Where RemotePartyRole is NetworkOperator (with their DUIS meanings), the S1SP shall populate the SMETS1 Response as follows:</w:t>
      </w:r>
      <w:bookmarkEnd w:id="53"/>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54"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54"/>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55" w:name="_Ref495505813"/>
      <w:r>
        <w:t xml:space="preserve">Table </w:t>
      </w:r>
      <w:fldSimple w:instr=" SEQ Table \* ARABIC ">
        <w:r w:rsidR="00C80262">
          <w:rPr>
            <w:noProof/>
          </w:rPr>
          <w:t>10</w:t>
        </w:r>
      </w:fldSimple>
      <w:bookmarkEnd w:id="5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56" w:name="_Ref822972"/>
      <w:r>
        <w:lastRenderedPageBreak/>
        <w:t xml:space="preserve">Table </w:t>
      </w:r>
      <w:fldSimple w:instr=" SEQ Table \* ARABIC ">
        <w:r w:rsidR="00C80262">
          <w:rPr>
            <w:noProof/>
          </w:rPr>
          <w:t>11</w:t>
        </w:r>
      </w:fldSimple>
      <w:r>
        <w:rPr>
          <w:noProof/>
        </w:rPr>
        <w:t>.1</w:t>
      </w:r>
      <w:bookmarkEnd w:id="5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57" w:name="_Ref858896"/>
      <w:r>
        <w:t xml:space="preserve">Table </w:t>
      </w:r>
      <w:fldSimple w:instr=" SEQ Table \* ARABIC ">
        <w:r w:rsidR="00C80262">
          <w:rPr>
            <w:noProof/>
          </w:rPr>
          <w:t>12</w:t>
        </w:r>
      </w:fldSimple>
      <w:r>
        <w:rPr>
          <w:noProof/>
        </w:rPr>
        <w:t>.2</w:t>
      </w:r>
      <w:bookmarkEnd w:id="5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lastRenderedPageBreak/>
              <w:t>NewRemotePartyID</w:t>
            </w:r>
          </w:p>
        </w:tc>
        <w:tc>
          <w:tcPr>
            <w:tcW w:w="10621" w:type="dxa"/>
            <w:noWrap/>
            <w:vAlign w:val="center"/>
            <w:hideMark/>
          </w:tcPr>
          <w:p w14:paraId="1D37F716"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06D9D">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4C660B43" w:rsidR="00C53A2D" w:rsidRPr="005067C6" w:rsidRDefault="00C53A2D" w:rsidP="00C53A2D">
      <w:pPr>
        <w:pStyle w:val="Caption"/>
      </w:pPr>
      <w:bookmarkStart w:id="58" w:name="_Ref858918"/>
      <w:r>
        <w:t xml:space="preserve">Table </w:t>
      </w:r>
      <w:fldSimple w:instr=" SEQ Table \* ARABIC ">
        <w:r w:rsidR="00C80262">
          <w:rPr>
            <w:noProof/>
          </w:rPr>
          <w:t>13</w:t>
        </w:r>
      </w:fldSimple>
      <w:r>
        <w:rPr>
          <w:noProof/>
        </w:rPr>
        <w:t>.3</w:t>
      </w:r>
      <w:bookmarkEnd w:id="58"/>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9" w:name="_For_clarity,_this"/>
      <w:bookmarkEnd w:id="59"/>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0" w:name="_If,_according_to"/>
      <w:bookmarkEnd w:id="60"/>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1"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1"/>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2"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2"/>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3" w:name="_Ref496175546"/>
      <w:r>
        <w:lastRenderedPageBreak/>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6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4"/>
    </w:p>
    <w:p w14:paraId="305AC434" w14:textId="77777777" w:rsidR="006F0925" w:rsidRDefault="00234015" w:rsidP="006F0925">
      <w:pPr>
        <w:pStyle w:val="Heading4"/>
      </w:pPr>
      <w:bookmarkStart w:id="6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5"/>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6" w:name="_Where_RequestType_is"/>
      <w:bookmarkEnd w:id="66"/>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7"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7"/>
    </w:p>
    <w:p w14:paraId="6F0C8528" w14:textId="77777777" w:rsidR="00C84DD1" w:rsidRDefault="00FA5F51" w:rsidP="00C84DD1">
      <w:pPr>
        <w:pStyle w:val="Heading3"/>
      </w:pPr>
      <w:bookmarkStart w:id="68"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8"/>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69" w:name="_On_receipt_of"/>
      <w:bookmarkStart w:id="70" w:name="_Ref496194402"/>
      <w:bookmarkEnd w:id="69"/>
      <w:r>
        <w:lastRenderedPageBreak/>
        <w:t>On receipt of a firmware distribution reque</w:t>
      </w:r>
      <w:r w:rsidR="00A40C2C">
        <w:t>st from the DCC, the S1SP shall, for each Device identified in that request confirm that the Device:</w:t>
      </w:r>
      <w:bookmarkEnd w:id="70"/>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1"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1"/>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2" w:name="_Where_Devices_of"/>
      <w:bookmarkEnd w:id="7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3" w:name="_S1SP_recording_of"/>
      <w:bookmarkStart w:id="74" w:name="_Ref521507846"/>
      <w:bookmarkStart w:id="75" w:name="_Ref495493504"/>
      <w:bookmarkEnd w:id="73"/>
      <w:r>
        <w:rPr>
          <w:rFonts w:ascii="Times New Roman" w:hAnsi="Times New Roman" w:cs="Times New Roman"/>
          <w:szCs w:val="24"/>
        </w:rPr>
        <w:t>Processing SMETS1 Service Requests – Device specific behaviour</w:t>
      </w:r>
      <w:bookmarkEnd w:id="74"/>
    </w:p>
    <w:p w14:paraId="1AFCF1C2" w14:textId="77777777" w:rsidR="00E73171" w:rsidRPr="00F54CAB" w:rsidRDefault="00E73171" w:rsidP="00952310">
      <w:pPr>
        <w:pStyle w:val="Heading1"/>
        <w:numPr>
          <w:ilvl w:val="1"/>
          <w:numId w:val="2"/>
        </w:numPr>
        <w:rPr>
          <w:rFonts w:cs="Times New Roman"/>
          <w:szCs w:val="24"/>
        </w:rPr>
      </w:pPr>
      <w:bookmarkStart w:id="76"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6"/>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77"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7"/>
    </w:p>
    <w:p w14:paraId="774577BA" w14:textId="77777777" w:rsidR="00256601" w:rsidRDefault="00256601" w:rsidP="00952310">
      <w:pPr>
        <w:pStyle w:val="Heading3"/>
        <w:numPr>
          <w:ilvl w:val="2"/>
          <w:numId w:val="8"/>
        </w:numPr>
      </w:pPr>
      <w:bookmarkStart w:id="78"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8"/>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5E8BFB73" w:rsidR="00346C30" w:rsidRPr="00BA633D" w:rsidRDefault="00E153CE" w:rsidP="004339E5">
      <w:pPr>
        <w:pStyle w:val="Heading3"/>
        <w:numPr>
          <w:ilvl w:val="2"/>
          <w:numId w:val="8"/>
        </w:numPr>
      </w:pPr>
      <w:bookmarkStart w:id="79" w:name="_Hlk26347557"/>
      <w:r w:rsidRPr="00BC095F">
        <w:t xml:space="preserve">Where the target SMETS1 ESME has been configured to operate an external Auxiliary Load Control Switch (with its SMETS2 meaning) executing this Service Request will have the result that the external Auxiliary Load Control Switch (with its SMETS2 meaning) operation </w:t>
      </w:r>
      <w:r w:rsidR="003D5085">
        <w:t>may</w:t>
      </w:r>
      <w:r w:rsidRPr="00BC095F">
        <w:t xml:space="preserve"> cease</w:t>
      </w:r>
      <w:r w:rsidR="009529FE">
        <w:t>.</w:t>
      </w:r>
    </w:p>
    <w:p w14:paraId="06ADAED3" w14:textId="77777777" w:rsidR="006F2EE9" w:rsidRPr="00B26EE3" w:rsidRDefault="006F2EE9" w:rsidP="00706D9D">
      <w:pPr>
        <w:pStyle w:val="Heading3"/>
        <w:numPr>
          <w:ilvl w:val="2"/>
          <w:numId w:val="15"/>
        </w:numPr>
      </w:pPr>
      <w:bookmarkStart w:id="80"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0"/>
    </w:p>
    <w:p w14:paraId="501885E1" w14:textId="77777777" w:rsidR="006F2EE9" w:rsidRDefault="006F2EE9" w:rsidP="00706D9D">
      <w:pPr>
        <w:pStyle w:val="Heading4"/>
        <w:numPr>
          <w:ilvl w:val="3"/>
          <w:numId w:val="15"/>
        </w:numPr>
      </w:pPr>
      <w:bookmarkStart w:id="81" w:name="_Ref41985984"/>
      <w:r>
        <w:t>where TOUTariff (with its DUIS meaning) is present in the Service Request;</w:t>
      </w:r>
      <w:bookmarkEnd w:id="81"/>
      <w:r>
        <w:t xml:space="preserve"> </w:t>
      </w:r>
    </w:p>
    <w:p w14:paraId="57D4EF8A" w14:textId="77777777" w:rsidR="006F2EE9" w:rsidRDefault="006F2EE9" w:rsidP="00706D9D">
      <w:pPr>
        <w:pStyle w:val="Heading4"/>
        <w:numPr>
          <w:ilvl w:val="3"/>
          <w:numId w:val="15"/>
        </w:numPr>
      </w:pPr>
      <w:r>
        <w:t xml:space="preserve">where all DayProfile (with its DUIS meaning) elements reference the same two TOUPrice (with its DUIS meaning) indices and no others; and </w:t>
      </w:r>
    </w:p>
    <w:p w14:paraId="1EF66311" w14:textId="77777777" w:rsidR="006F2EE9" w:rsidRDefault="006F2EE9" w:rsidP="00706D9D">
      <w:pPr>
        <w:pStyle w:val="Heading4"/>
        <w:numPr>
          <w:ilvl w:val="3"/>
          <w:numId w:val="15"/>
        </w:numPr>
      </w:pPr>
      <w:bookmarkStart w:id="82" w:name="_Ref41985994"/>
      <w:r>
        <w:t>those two TOUPrice’s (with its DUIS meaning) values differ;</w:t>
      </w:r>
      <w:bookmarkEnd w:id="82"/>
    </w:p>
    <w:p w14:paraId="6D434629" w14:textId="79E5AD4F" w:rsidR="006F2EE9" w:rsidRDefault="006F2EE9" w:rsidP="006F2EE9">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bookmarkEnd w:id="79"/>
    <w:p w14:paraId="4EC7CE17" w14:textId="32E081AC" w:rsidR="00DD4725" w:rsidRDefault="00DD4725" w:rsidP="00DD4725">
      <w:pPr>
        <w:pStyle w:val="Heading3"/>
        <w:numPr>
          <w:ilvl w:val="2"/>
          <w:numId w:val="8"/>
        </w:numPr>
      </w:pPr>
      <w:r w:rsidRPr="00454780">
        <w:t>Where the target SMETS1 ESME does not support the setting of a tariff where</w:t>
      </w:r>
      <w:r>
        <w:t>:</w:t>
      </w:r>
    </w:p>
    <w:p w14:paraId="623A1D19" w14:textId="77777777" w:rsidR="00DD4725" w:rsidRDefault="00DD4725" w:rsidP="00DD4725">
      <w:pPr>
        <w:pStyle w:val="Heading4"/>
        <w:numPr>
          <w:ilvl w:val="3"/>
          <w:numId w:val="8"/>
        </w:numPr>
      </w:pPr>
      <w:r>
        <w:t>the SeasonStartDate has a SpecifiedYear;</w:t>
      </w:r>
    </w:p>
    <w:p w14:paraId="6A7B32A1" w14:textId="77777777" w:rsidR="00DD4725" w:rsidRDefault="00DD4725" w:rsidP="00DD4725">
      <w:pPr>
        <w:pStyle w:val="Heading4"/>
        <w:numPr>
          <w:ilvl w:val="3"/>
          <w:numId w:val="8"/>
        </w:numPr>
      </w:pPr>
      <w:r>
        <w:t>the SeasonStartDate has a NonSpecifiedMonth;</w:t>
      </w:r>
    </w:p>
    <w:p w14:paraId="13522F92" w14:textId="4DD86A21" w:rsidR="00DD4725" w:rsidRDefault="00DD4725" w:rsidP="00DD4725">
      <w:pPr>
        <w:pStyle w:val="Heading4"/>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52F7A8CA" w14:textId="77777777" w:rsidR="00DD4725" w:rsidRDefault="00DD4725" w:rsidP="00DD4725">
      <w:pPr>
        <w:pStyle w:val="Heading4"/>
        <w:numPr>
          <w:ilvl w:val="3"/>
          <w:numId w:val="8"/>
        </w:numPr>
      </w:pPr>
      <w:r>
        <w:lastRenderedPageBreak/>
        <w:t>the SeasonStartDate has a SpecifiedDayofWeek;</w:t>
      </w:r>
    </w:p>
    <w:p w14:paraId="7A2AB70E" w14:textId="373AC9A7" w:rsidR="008A2AFA" w:rsidRDefault="008A2AFA" w:rsidP="008A2AFA">
      <w:pPr>
        <w:pStyle w:val="Heading4"/>
        <w:numPr>
          <w:ilvl w:val="3"/>
          <w:numId w:val="8"/>
        </w:numPr>
      </w:pPr>
      <w:r>
        <w:t>any of the SpecialDays has a NonSpecifiedDayofMonth</w:t>
      </w:r>
      <w:r w:rsidR="004B3672">
        <w:t>, or a LastDayofMonth or a SecondLastDayofMonth</w:t>
      </w:r>
      <w:r>
        <w:t>;</w:t>
      </w:r>
    </w:p>
    <w:p w14:paraId="53BD7CFC" w14:textId="77777777" w:rsidR="008A2AFA" w:rsidRDefault="008A2AFA" w:rsidP="008A2AFA">
      <w:pPr>
        <w:pStyle w:val="Heading4"/>
        <w:numPr>
          <w:ilvl w:val="3"/>
          <w:numId w:val="8"/>
        </w:numPr>
      </w:pPr>
      <w:r>
        <w:t>any of the SpecialDays has a NonSpecifiedMonth;</w:t>
      </w:r>
    </w:p>
    <w:p w14:paraId="2770B4C7" w14:textId="77777777" w:rsidR="008A2AFA" w:rsidRDefault="008A2AFA" w:rsidP="008A2AFA">
      <w:pPr>
        <w:pStyle w:val="Heading4"/>
        <w:numPr>
          <w:ilvl w:val="3"/>
          <w:numId w:val="8"/>
        </w:numPr>
      </w:pPr>
      <w:r>
        <w:t>any of the SpecialDays hasa SpecifiedDayofWeek;</w:t>
      </w:r>
    </w:p>
    <w:p w14:paraId="0213226E" w14:textId="69DB6FC2" w:rsidR="00DD4725" w:rsidRDefault="00DD4725" w:rsidP="00DD4725">
      <w:pPr>
        <w:pStyle w:val="Heading4"/>
        <w:numPr>
          <w:ilvl w:val="3"/>
          <w:numId w:val="8"/>
        </w:numPr>
      </w:pPr>
      <w:r w:rsidRPr="00454780">
        <w:t>the earliest StartTime (with its DUIS meaning) in each DayProfile (with its DUIS meaning) is other than midnight (UTC)</w:t>
      </w:r>
      <w:r>
        <w:t>;</w:t>
      </w:r>
    </w:p>
    <w:p w14:paraId="331C8FA8" w14:textId="225B623C" w:rsidR="00DD4725" w:rsidRDefault="00DD4725" w:rsidP="00E11F17">
      <w:pPr>
        <w:pStyle w:val="Heading4"/>
        <w:numPr>
          <w:ilvl w:val="3"/>
          <w:numId w:val="8"/>
        </w:numPr>
      </w:pPr>
      <w:r w:rsidRPr="00454780">
        <w:t>where any of the StartTimes (with their DUIS meanings) are not the start of minutes 00 or 30 in any hour</w:t>
      </w:r>
      <w:r>
        <w:t xml:space="preserve"> or</w:t>
      </w:r>
    </w:p>
    <w:p w14:paraId="69BFF4A0" w14:textId="26F09C9A" w:rsidR="00DD4725" w:rsidRDefault="00DD4725" w:rsidP="00DD4725">
      <w:pPr>
        <w:pStyle w:val="Heading4"/>
        <w:numPr>
          <w:ilvl w:val="3"/>
          <w:numId w:val="8"/>
        </w:numPr>
      </w:pPr>
      <w:r>
        <w:t>the order of the XML elements within the Seasons XML element is other than in ascending order of the Month value within SeasonStartDate (with their DUIS meanings)</w:t>
      </w:r>
    </w:p>
    <w:p w14:paraId="77B4773D" w14:textId="53F56871" w:rsidR="0005566A" w:rsidRDefault="0005566A" w:rsidP="0005566A">
      <w:pPr>
        <w:pStyle w:val="Body4"/>
        <w:ind w:left="1440"/>
      </w:pPr>
      <w:r w:rsidRPr="0005566A">
        <w:t>then the S1SP shall, where it receives a Service Request that does not meet these criteria, create a SMETS1 Response indicating failure.</w:t>
      </w:r>
    </w:p>
    <w:p w14:paraId="4A0B4BF1" w14:textId="77777777" w:rsidR="005C0121" w:rsidRDefault="005C0121" w:rsidP="005C0121">
      <w:pPr>
        <w:pStyle w:val="Heading3"/>
        <w:numPr>
          <w:ilvl w:val="2"/>
          <w:numId w:val="8"/>
        </w:numPr>
      </w:pPr>
      <w:r w:rsidRPr="00454780">
        <w:t xml:space="preserve">Where the target </w:t>
      </w:r>
      <w:r>
        <w:t xml:space="preserve">SMETS1 GSME </w:t>
      </w:r>
      <w:r w:rsidRPr="00454780">
        <w:t>does not support the setting of a tariff where</w:t>
      </w:r>
      <w:r>
        <w:t>:</w:t>
      </w:r>
    </w:p>
    <w:p w14:paraId="2E6D3AAA" w14:textId="77777777" w:rsidR="005C0121" w:rsidRDefault="005C0121" w:rsidP="005C0121">
      <w:pPr>
        <w:pStyle w:val="Heading4"/>
        <w:numPr>
          <w:ilvl w:val="3"/>
          <w:numId w:val="8"/>
        </w:numPr>
      </w:pPr>
      <w:r>
        <w:t>the SeasonStartDate has a SpecifiedYear;</w:t>
      </w:r>
    </w:p>
    <w:p w14:paraId="2F7044A1" w14:textId="77777777" w:rsidR="005C0121" w:rsidRDefault="005C0121" w:rsidP="005C0121">
      <w:pPr>
        <w:pStyle w:val="Heading4"/>
        <w:numPr>
          <w:ilvl w:val="3"/>
          <w:numId w:val="8"/>
        </w:numPr>
      </w:pPr>
      <w:r>
        <w:t>the SeasonStartDate has a NonSpecifiedMonth;</w:t>
      </w:r>
    </w:p>
    <w:p w14:paraId="0105A929" w14:textId="77777777" w:rsidR="005C0121" w:rsidRDefault="005C0121" w:rsidP="005C0121">
      <w:pPr>
        <w:pStyle w:val="Heading4"/>
        <w:numPr>
          <w:ilvl w:val="3"/>
          <w:numId w:val="8"/>
        </w:numPr>
      </w:pPr>
      <w:r>
        <w:t>the SeasonStartDate has a NonSpecifiedDayofMonth;</w:t>
      </w:r>
    </w:p>
    <w:p w14:paraId="5137471C" w14:textId="77777777" w:rsidR="005C0121" w:rsidRDefault="005C0121" w:rsidP="005C0121">
      <w:pPr>
        <w:pStyle w:val="Heading4"/>
        <w:numPr>
          <w:ilvl w:val="3"/>
          <w:numId w:val="8"/>
        </w:numPr>
      </w:pPr>
      <w:r>
        <w:t>the SeasonStartDate has a SpecifiedDayofWeek;</w:t>
      </w:r>
    </w:p>
    <w:p w14:paraId="50AFE65F" w14:textId="77777777" w:rsidR="005C0121" w:rsidRDefault="005C0121" w:rsidP="005C0121">
      <w:pPr>
        <w:pStyle w:val="Heading4"/>
        <w:numPr>
          <w:ilvl w:val="3"/>
          <w:numId w:val="8"/>
        </w:numPr>
      </w:pPr>
      <w:r>
        <w:t>any of the SpecialDays has a NonSpecifiedDayofMonth;</w:t>
      </w:r>
    </w:p>
    <w:p w14:paraId="0725B0B8" w14:textId="77777777" w:rsidR="005C0121" w:rsidRDefault="005C0121" w:rsidP="005C0121">
      <w:pPr>
        <w:pStyle w:val="Heading4"/>
        <w:numPr>
          <w:ilvl w:val="3"/>
          <w:numId w:val="8"/>
        </w:numPr>
      </w:pPr>
      <w:r>
        <w:t>any of the SpecialDays has a NonSpecifiedMonth;</w:t>
      </w:r>
    </w:p>
    <w:p w14:paraId="4BF92D07" w14:textId="77777777" w:rsidR="005C0121" w:rsidRDefault="005C0121" w:rsidP="005C0121">
      <w:pPr>
        <w:pStyle w:val="Heading4"/>
        <w:numPr>
          <w:ilvl w:val="3"/>
          <w:numId w:val="8"/>
        </w:numPr>
      </w:pPr>
      <w:r>
        <w:lastRenderedPageBreak/>
        <w:t>any of the SpecialDays hasa SpecifiedDayofWeek;</w:t>
      </w:r>
    </w:p>
    <w:p w14:paraId="31414980" w14:textId="77777777" w:rsidR="005C0121" w:rsidRPr="009512F7" w:rsidRDefault="005C0121" w:rsidP="005C0121">
      <w:pPr>
        <w:pStyle w:val="Heading4"/>
        <w:numPr>
          <w:ilvl w:val="3"/>
          <w:numId w:val="8"/>
        </w:numPr>
      </w:pPr>
      <w:r>
        <w:t>the order of the XML elements within the Seasons XML element is other than in ascending order of the Month value within SeasonStartDate (with their DUIS meanings)</w:t>
      </w:r>
    </w:p>
    <w:p w14:paraId="30AD72D1" w14:textId="77777777" w:rsidR="005C0121" w:rsidRDefault="005C0121" w:rsidP="005C0121">
      <w:pPr>
        <w:pStyle w:val="Heading4"/>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6D45BD5"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A98F18A" w:rsidR="00A528A4" w:rsidRDefault="003E30B8" w:rsidP="001562AC">
      <w:pPr>
        <w:pStyle w:val="Heading3"/>
        <w:numPr>
          <w:ilvl w:val="2"/>
          <w:numId w:val="8"/>
        </w:num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0112C55D" w14:textId="20C5C870" w:rsidR="00412A20" w:rsidRDefault="00412A20" w:rsidP="00412A20">
      <w:pPr>
        <w:pStyle w:val="Heading3"/>
        <w:numPr>
          <w:ilvl w:val="2"/>
          <w:numId w:val="8"/>
        </w:numPr>
      </w:pPr>
      <w:r>
        <w:lastRenderedPageBreak/>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166559E0" w14:textId="3ADF5C9E" w:rsidR="006738D3" w:rsidRDefault="00460BDE" w:rsidP="006738D3">
      <w:pPr>
        <w:pStyle w:val="Heading3"/>
        <w:numPr>
          <w:ilvl w:val="2"/>
          <w:numId w:val="8"/>
        </w:numPr>
      </w:pPr>
      <w:r>
        <w:t xml:space="preserve">Where the target SMETS1 ESME or SMETS1 GSME </w:t>
      </w:r>
      <w:r w:rsidR="00C13494">
        <w:t>processes a positive</w:t>
      </w:r>
      <w:r>
        <w:t xml:space="preserve"> adjustment</w:t>
      </w:r>
      <w:r w:rsidR="00C13494">
        <w:t xml:space="preserve"> </w:t>
      </w:r>
      <w:r>
        <w:t>to the ESME Meter Balance</w:t>
      </w:r>
      <w:r w:rsidR="00B52A39">
        <w:t xml:space="preserve"> </w:t>
      </w:r>
      <w:r>
        <w:t>/</w:t>
      </w:r>
      <w:r w:rsidR="00B52A39">
        <w:t xml:space="preserve"> </w:t>
      </w:r>
      <w:r>
        <w:t>GSME PrepaymentMode Meter Balance (with their DUIS and SMETS1 meaning</w:t>
      </w:r>
      <w:r w:rsidR="00B52A39">
        <w:t>s</w:t>
      </w:r>
      <w:r>
        <w:t>)</w:t>
      </w:r>
      <w:r w:rsidR="009835DD">
        <w:t xml:space="preserve"> then the </w:t>
      </w:r>
      <w:r w:rsidR="0004664A">
        <w:t xml:space="preserve">Device </w:t>
      </w:r>
      <w:r w:rsidR="009835DD">
        <w:t>will</w:t>
      </w:r>
      <w:r w:rsidR="0004664A">
        <w:t xml:space="preserve">, in addition to adjusting the Meter Balance (with its SMETS1 meaning), </w:t>
      </w:r>
      <w:r w:rsidR="009835DD">
        <w:t xml:space="preserve">first apply that adjustment to the Accumulated Debt Register if it is greater </w:t>
      </w:r>
      <w:r w:rsidR="0094299D">
        <w:t xml:space="preserve">than zero, second, if the accumulated </w:t>
      </w:r>
      <w:r w:rsidR="00CA782F">
        <w:t xml:space="preserve">Debt Register is zero, or </w:t>
      </w:r>
      <w:r w:rsidR="00B52A39">
        <w:t xml:space="preserve">is </w:t>
      </w:r>
      <w:r w:rsidR="00CA782F">
        <w:t xml:space="preserve">reduced to zero, </w:t>
      </w:r>
      <w:r w:rsidR="000F0465">
        <w:t xml:space="preserve">apply </w:t>
      </w:r>
      <w:r w:rsidR="00CA782F">
        <w:t xml:space="preserve">any </w:t>
      </w:r>
      <w:r w:rsidR="000F0465">
        <w:t xml:space="preserve">remaining adjustment to the Emergency Credit Balance until </w:t>
      </w:r>
      <w:r w:rsidR="00F07693">
        <w:t xml:space="preserve">it </w:t>
      </w:r>
      <w:r w:rsidR="00F66050">
        <w:t>reaches the Emergency Credit Limit</w:t>
      </w:r>
      <w:r w:rsidR="00472764">
        <w:t>.</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bookmarkStart w:id="83" w:name="_Hlk43194926"/>
      <w:r>
        <w:t xml:space="preserve">When the S1SP changes Payment Mode (with its SMETS1 meaning) to Prepayment, the SMETS1 ESME or GSME automatically </w:t>
      </w:r>
      <w:bookmarkEnd w:id="83"/>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84" w:name="_Hlk31718752"/>
      <w:r>
        <w:t xml:space="preserve">Where the target SMETS1 ESME or SMETS1 GSME does not support positive values for the Disablement Threshold (with its SMETS1 meaning) </w:t>
      </w:r>
      <w:r>
        <w:lastRenderedPageBreak/>
        <w:t xml:space="preserve">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84"/>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85"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3BD3D185"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6998CC5" w:rsidR="008D39C2" w:rsidRDefault="008D39C2" w:rsidP="008D39C2">
      <w:pPr>
        <w:pStyle w:val="Heading3"/>
        <w:numPr>
          <w:ilvl w:val="2"/>
          <w:numId w:val="8"/>
        </w:numPr>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480701FA" w14:textId="78B67933" w:rsidR="001A0A7B" w:rsidRDefault="001A0A7B" w:rsidP="001A0A7B">
      <w:pPr>
        <w:pStyle w:val="Heading3"/>
        <w:keepLines/>
        <w:numPr>
          <w:ilvl w:val="2"/>
          <w:numId w:val="8"/>
        </w:numPr>
      </w:pPr>
      <w:r>
        <w:lastRenderedPageBreak/>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B5499F5" w14:textId="23DEE8CE" w:rsidR="00742BFE" w:rsidRDefault="00572AA4" w:rsidP="008107D0">
      <w:pPr>
        <w:pStyle w:val="Heading3"/>
        <w:numPr>
          <w:ilvl w:val="2"/>
          <w:numId w:val="8"/>
        </w:numPr>
      </w:pPr>
      <w:r>
        <w:t xml:space="preserve">When the S1SP changes Payment Mode (with its SMETS1 meaning) 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0E3A0043" w14:textId="560C94FF" w:rsidR="000F7BC6" w:rsidRDefault="003A6D08" w:rsidP="00834C7E">
      <w:pPr>
        <w:pStyle w:val="Heading3"/>
        <w:numPr>
          <w:ilvl w:val="2"/>
          <w:numId w:val="8"/>
        </w:numPr>
      </w:pPr>
      <w:bookmarkStart w:id="86" w:name="_Hlk45616570"/>
      <w:r>
        <w:t xml:space="preserve">When the S1SP changes Payment Mode (with its SMETS1 meaning) 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86"/>
    <w:p w14:paraId="41F23D2E" w14:textId="61DD0180" w:rsidR="003258D9" w:rsidRDefault="0020651F" w:rsidP="00834C7E">
      <w:pPr>
        <w:pStyle w:val="Heading3"/>
        <w:numPr>
          <w:ilvl w:val="2"/>
          <w:numId w:val="8"/>
        </w:numPr>
      </w:pPr>
      <w:r>
        <w:t>When the S1SP changes Payment Mode (with its SMETS1 meaning) to Prepayment, the SMETS1 ESME or GSME will</w:t>
      </w:r>
      <w:r w:rsidR="00ED5BAA">
        <w:t xml:space="preserve"> be configured with an Emergency Credit Limit (with its SMETS1 </w:t>
      </w:r>
      <w:r w:rsidR="00CD3E3B">
        <w:t>meaning) of £10.</w:t>
      </w:r>
    </w:p>
    <w:p w14:paraId="7F1AAB77" w14:textId="0FDA3F58" w:rsidR="005D000F" w:rsidRDefault="005D000F" w:rsidP="005D000F">
      <w:pPr>
        <w:pStyle w:val="Heading3"/>
        <w:numPr>
          <w:ilvl w:val="2"/>
          <w:numId w:val="8"/>
        </w:numPr>
      </w:pPr>
      <w:r>
        <w:t xml:space="preserve">When the S1SP changes Payment Mode (with its SMETS1 meaning) to Prepayment, the SMETS1 ESME or GSME will be configured with an Emergency Credit </w:t>
      </w:r>
      <w:r w:rsidR="0003288C">
        <w:t>Threshold</w:t>
      </w:r>
      <w:r>
        <w:t xml:space="preserve"> (with its SMETS1 meaning) of £1.</w:t>
      </w:r>
    </w:p>
    <w:p w14:paraId="720B22EB" w14:textId="37843143" w:rsidR="00FC74C1" w:rsidRDefault="00FC74C1" w:rsidP="00FC74C1">
      <w:pPr>
        <w:pStyle w:val="Heading3"/>
        <w:numPr>
          <w:ilvl w:val="2"/>
          <w:numId w:val="8"/>
        </w:numPr>
      </w:pPr>
      <w:r>
        <w:t xml:space="preserve">When the S1SP changes Payment Mode (with its SMETS1 meaning) 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419F4A2B" w14:textId="2995BA96" w:rsidR="00164E71" w:rsidRDefault="00164E71" w:rsidP="00164E71">
      <w:pPr>
        <w:pStyle w:val="Heading3"/>
        <w:numPr>
          <w:ilvl w:val="2"/>
          <w:numId w:val="8"/>
        </w:numPr>
      </w:pPr>
      <w:r>
        <w:t>When the S1SP changes Payment Mode (with its SMETS1 meaning) 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5BB7158C" w14:textId="3FB0D199" w:rsidR="00872F6C" w:rsidRDefault="00872F6C" w:rsidP="00872F6C">
      <w:pPr>
        <w:pStyle w:val="Heading3"/>
        <w:numPr>
          <w:ilvl w:val="2"/>
          <w:numId w:val="8"/>
        </w:numPr>
      </w:pPr>
      <w:r>
        <w:t>When the S1SP changes Payment Mode (with its SMETS1 meaning) to Prepayment, the SMETS1 ESME or GSME will be configured with a Maximum Credit Threshold (with its SMETS2 meaning) of £500.</w:t>
      </w:r>
    </w:p>
    <w:bookmarkEnd w:id="85"/>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87"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87"/>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lastRenderedPageBreak/>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0C99655C" w:rsidR="00130ACF" w:rsidRDefault="00130ACF" w:rsidP="00706D9D">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706D9D">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706D9D">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706D9D">
      <w:pPr>
        <w:pStyle w:val="Heading5"/>
        <w:numPr>
          <w:ilvl w:val="0"/>
          <w:numId w:val="12"/>
        </w:numPr>
      </w:pPr>
      <w:r>
        <w:lastRenderedPageBreak/>
        <w:t>is before the next subsequent StartDate (ignoring any years specified in that date) in the list created at step 1.</w:t>
      </w:r>
    </w:p>
    <w:p w14:paraId="227278B9" w14:textId="73D23517"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 criteria</w:t>
      </w:r>
      <w:r w:rsidRPr="005C6A58">
        <w:t>, create a SMETS1 Response indicating failure.</w:t>
      </w:r>
    </w:p>
    <w:p w14:paraId="097B9A1C" w14:textId="72F2FF45" w:rsidR="004700B3" w:rsidRDefault="00883746" w:rsidP="004700B3">
      <w:pPr>
        <w:pStyle w:val="Heading3"/>
        <w:numPr>
          <w:ilvl w:val="2"/>
          <w:numId w:val="8"/>
        </w:numPr>
        <w:jc w:val="left"/>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624B95CF"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06D9D">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706D9D">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06D9D">
      <w:pPr>
        <w:pStyle w:val="Heading3"/>
        <w:numPr>
          <w:ilvl w:val="3"/>
          <w:numId w:val="11"/>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 xml:space="preserve">For SMETS1 ESME that do not support EndDates in ScheduleDatesAndTimes and do not support specified years in the StartDates of </w:t>
      </w:r>
      <w:r>
        <w:lastRenderedPageBreak/>
        <w:t>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5130BF09" w:rsid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47202CD6" w14:textId="60E15831" w:rsidR="00C6206F" w:rsidRDefault="00C6206F" w:rsidP="00C6206F">
      <w:pPr>
        <w:pStyle w:val="Heading3"/>
        <w:numPr>
          <w:ilvl w:val="2"/>
          <w:numId w:val="8"/>
        </w:numPr>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t>
      </w:r>
      <w:r>
        <w:lastRenderedPageBreak/>
        <w:t>(with their DUIS meanings) then the S1SP shall create a SMETS1 Response indicating failure should such a Service Request be received.</w:t>
      </w:r>
    </w:p>
    <w:p w14:paraId="400141EB" w14:textId="0925D507" w:rsidR="00F97A7A" w:rsidRDefault="009A763D" w:rsidP="00F97A7A">
      <w:pPr>
        <w:pStyle w:val="Heading3"/>
        <w:numPr>
          <w:ilvl w:val="2"/>
          <w:numId w:val="8"/>
        </w:numPr>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68DAEE6" w14:textId="64292911" w:rsidR="00CD58CD" w:rsidRPr="00CD58CD" w:rsidRDefault="00DE38AE" w:rsidP="0092614F">
      <w:pPr>
        <w:pStyle w:val="Heading3"/>
        <w:numPr>
          <w:ilvl w:val="2"/>
          <w:numId w:val="8"/>
        </w:numPr>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88" w:name="_Ref521359569"/>
      <w:r>
        <w:t xml:space="preserve">Where the target SMETS1 ESME or SMETS1 GSME only supports update of the recovery period for Debt Recovery Rates 1 and 2 (with their SMETS1 meanings) when in Credit Mode (with its SMETS1 meaning) the S1SP shall ignore </w:t>
      </w:r>
      <w:bookmarkStart w:id="89" w:name="_Hlk524466173"/>
      <w:r>
        <w:t xml:space="preserve">DebtRecoveryRatePeriod </w:t>
      </w:r>
      <w:bookmarkEnd w:id="89"/>
      <w:r>
        <w:t xml:space="preserve">(with its DUIS meaning) if the </w:t>
      </w:r>
      <w:r w:rsidR="00542BCB">
        <w:t>Device</w:t>
      </w:r>
      <w:r>
        <w:t xml:space="preserve"> is already in Prepayment Mode (with its SMETS1 meaning) and return a SMETS1 Response indicating success.</w:t>
      </w:r>
      <w:bookmarkEnd w:id="88"/>
    </w:p>
    <w:p w14:paraId="12AC4480" w14:textId="77777777" w:rsidR="00256601" w:rsidRDefault="00256601" w:rsidP="00952310">
      <w:pPr>
        <w:pStyle w:val="Heading3"/>
        <w:numPr>
          <w:ilvl w:val="2"/>
          <w:numId w:val="8"/>
        </w:numPr>
      </w:pPr>
      <w:bookmarkStart w:id="90"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90"/>
    </w:p>
    <w:p w14:paraId="75CCA110" w14:textId="77777777" w:rsidR="00A327AC" w:rsidRDefault="00256601" w:rsidP="00952310">
      <w:pPr>
        <w:pStyle w:val="Heading3"/>
        <w:numPr>
          <w:ilvl w:val="2"/>
          <w:numId w:val="8"/>
        </w:numPr>
        <w:jc w:val="left"/>
      </w:pPr>
      <w:bookmarkStart w:id="91"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91"/>
    </w:p>
    <w:p w14:paraId="464BD65A" w14:textId="77777777" w:rsidR="00256601" w:rsidRDefault="00256601" w:rsidP="00952310">
      <w:pPr>
        <w:pStyle w:val="Heading3"/>
        <w:numPr>
          <w:ilvl w:val="2"/>
          <w:numId w:val="8"/>
        </w:numPr>
        <w:jc w:val="left"/>
      </w:pPr>
      <w:r>
        <w:lastRenderedPageBreak/>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92"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92"/>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93"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93"/>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613BC114" w:rsidR="00122437" w:rsidRDefault="001D3BA4" w:rsidP="00B24441">
      <w:pPr>
        <w:pStyle w:val="Heading3"/>
        <w:numPr>
          <w:ilvl w:val="2"/>
          <w:numId w:val="8"/>
        </w:numPr>
        <w:jc w:val="left"/>
      </w:pPr>
      <w:r>
        <w:lastRenderedPageBreak/>
        <w:t>Where the target SMETS1 ESME does not support updating of debt values unless</w:t>
      </w:r>
      <w:r w:rsidR="00A04BAF">
        <w:t xml:space="preserve"> </w:t>
      </w:r>
      <w:r w:rsidR="007F3DD2" w:rsidRPr="007F3DD2">
        <w:t>DebtRecoveryRatePriceScale</w:t>
      </w:r>
      <w:r w:rsidR="00FD1687">
        <w:t>s</w:t>
      </w:r>
      <w:r w:rsidR="007F3DD2" w:rsidRPr="007F3DD2">
        <w:t xml:space="preserve"> </w:t>
      </w:r>
      <w:r w:rsidR="009C26EA">
        <w:t xml:space="preserve">are </w:t>
      </w:r>
      <w:r w:rsidR="007F3DD2" w:rsidRPr="007F3DD2">
        <w:t>‘-2’,</w:t>
      </w:r>
      <w:r w:rsidR="00B24441">
        <w:t xml:space="preserve"> </w:t>
      </w:r>
      <w:r>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8795606" w14:textId="76D30FF3"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6B9C9662" w14:textId="408C6653"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F935554" w:rsidR="00646B23" w:rsidRDefault="008060E9" w:rsidP="00AC4994">
      <w:pPr>
        <w:pStyle w:val="Heading3"/>
        <w:keepNext/>
        <w:keepLines/>
      </w:pPr>
      <w:bookmarkStart w:id="94" w:name="_Hlk45286617"/>
      <w:r w:rsidRPr="008060E9">
        <w:t xml:space="preserve">Where the </w:t>
      </w:r>
      <w:r w:rsidR="00AC4994" w:rsidRPr="00AC4994">
        <w:t xml:space="preserve">SMETS1 ESME or </w:t>
      </w:r>
      <w:r w:rsidRPr="008060E9">
        <w:t>SMETS1 GSME</w:t>
      </w:r>
      <w:bookmarkEnd w:id="94"/>
      <w:r w:rsidRPr="008060E9">
        <w:t xml:space="preserve"> does not differentiate between the reasons for failure to activate Emergency Credit (with its SMETS1 meaning) then the S1SP shall return a SMETS1 Response indicating failure where the </w:t>
      </w:r>
      <w:r w:rsidR="00C41E03">
        <w:t>device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523D679C" w14:textId="5BEFDAC0"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lastRenderedPageBreak/>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50DFFE2E"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95" w:name="_Toc398808639"/>
      <w:bookmarkStart w:id="96" w:name="_Toc489860713"/>
      <w:bookmarkStart w:id="97" w:name="_Toc496883969"/>
      <w:r w:rsidRPr="00952310">
        <w:rPr>
          <w:rFonts w:ascii="Times New Roman" w:hAnsi="Times New Roman" w:cs="Times New Roman"/>
          <w:szCs w:val="24"/>
        </w:rPr>
        <w:t>Read Instantaneous Prepay Values</w:t>
      </w:r>
      <w:bookmarkEnd w:id="95"/>
      <w:bookmarkEnd w:id="96"/>
      <w:bookmarkEnd w:id="97"/>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227462E3" w14:textId="430C4B27" w:rsidR="00F2258A" w:rsidRDefault="009975BF" w:rsidP="00A2221C">
      <w:pPr>
        <w:pStyle w:val="Heading3"/>
        <w:numPr>
          <w:ilvl w:val="2"/>
          <w:numId w:val="8"/>
        </w:numPr>
      </w:pPr>
      <w:r>
        <w:t xml:space="preserve">Where the target SMETS1 ESME or SMETS1 GSME does not support reading of Accumulated Debt Register, Emergency Credit Balance, Meter Balance, Payment Debt Register and the Time Debt Registers [1..2] (with their SMETS1 meanings) when the Payment Mode is Credit Mode and </w:t>
      </w:r>
      <w:r>
        <w:lastRenderedPageBreak/>
        <w:t>the Device is in Credit Mode (with their SMETS meanings), the S1SP shall return a SMETS1 Response indicating failure.</w:t>
      </w:r>
    </w:p>
    <w:p w14:paraId="49ABE6F7" w14:textId="0AED8F36"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98" w:name="_Ref862508"/>
      <w:r w:rsidRPr="00952310">
        <w:rPr>
          <w:rFonts w:ascii="Times New Roman" w:hAnsi="Times New Roman" w:cs="Times New Roman"/>
          <w:szCs w:val="24"/>
        </w:rPr>
        <w:t>Retrieve Change Of Mode / Tariff Triggered Billing Data Log (SRV 4.4.2),</w:t>
      </w:r>
      <w:bookmarkEnd w:id="98"/>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99"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99"/>
    </w:p>
    <w:p w14:paraId="6F588418" w14:textId="4CA035BD" w:rsidR="00202ACF" w:rsidRDefault="00202ACF" w:rsidP="00952310">
      <w:pPr>
        <w:pStyle w:val="Heading3"/>
        <w:numPr>
          <w:ilvl w:val="2"/>
          <w:numId w:val="8"/>
        </w:numPr>
        <w:jc w:val="left"/>
      </w:pPr>
      <w:bookmarkStart w:id="100"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bookmarkEnd w:id="100"/>
      <w:r w:rsidR="008D0DF2">
        <w:t>.</w:t>
      </w:r>
    </w:p>
    <w:p w14:paraId="06D41B5A" w14:textId="152F8278" w:rsidR="00D841B2" w:rsidRP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 xml:space="preserve">the SMETS1 Response may contain Timestamps (with </w:t>
      </w:r>
      <w:r w:rsidR="00A65CC2">
        <w:lastRenderedPageBreak/>
        <w:t>their MMC meanings) reflecting the delayed recording</w:t>
      </w:r>
      <w:r w:rsidR="0005756B">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63A152B9" w14:textId="3B3A6270" w:rsidR="00E13043" w:rsidRDefault="00ED6170" w:rsidP="00F11321">
      <w:pPr>
        <w:pStyle w:val="Heading3"/>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lastRenderedPageBreak/>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StandingChargeScale (with its DUIS meaning) at a resolution greater than ten thousandths of Currency Units (with its SMETS1 meaning) per day the value in StandingChargeScale (with its Message Mapping Catalogue meaning) shall </w:t>
      </w:r>
      <w:r>
        <w:lastRenderedPageBreak/>
        <w:t>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 xml:space="preserve">the </w:t>
      </w:r>
      <w:r w:rsidRPr="00CE2F48">
        <w:lastRenderedPageBreak/>
        <w:t>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lastRenderedPageBreak/>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484711C5"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 xml:space="preserve">returned, shall be </w:t>
      </w:r>
      <w:r>
        <w:t>a whole number of pence</w:t>
      </w:r>
      <w:r w:rsidR="00D7100E">
        <w:t>.</w:t>
      </w:r>
    </w:p>
    <w:p w14:paraId="79498E66" w14:textId="7CF95329"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69A5B4B8" w14:textId="3960C865"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50F48D14" w14:textId="54C7D8FD" w:rsidR="00600395" w:rsidRDefault="00600395" w:rsidP="00A2221C">
      <w:pPr>
        <w:pStyle w:val="Heading3"/>
        <w:numPr>
          <w:ilvl w:val="2"/>
          <w:numId w:val="8"/>
        </w:numPr>
      </w:pPr>
      <w:r>
        <w:t>Where the clauses 18.7 (l) and 18.7 (m) apply, the DUIS values covered by those clauses which are returned in the SMETS1 Response, may be different from those previously requested.</w:t>
      </w:r>
    </w:p>
    <w:p w14:paraId="29BA4A74" w14:textId="7B8DDF89"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t>
      </w:r>
      <w:r w:rsidRPr="0066196D">
        <w:lastRenderedPageBreak/>
        <w:t xml:space="preserve">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w:t>
      </w:r>
      <w:r>
        <w:lastRenderedPageBreak/>
        <w:t xml:space="preserve">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1327AB46"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023DCAD6" w14:textId="1566A001"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lastRenderedPageBreak/>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4470DF5E" w:rsidR="004574B7" w:rsidRDefault="00EF5976" w:rsidP="00EF5976">
      <w:pPr>
        <w:pStyle w:val="Heading3"/>
        <w:numPr>
          <w:ilvl w:val="2"/>
          <w:numId w:val="8"/>
        </w:numPr>
        <w:jc w:val="left"/>
      </w:pPr>
      <w:r w:rsidRPr="00EF5976">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1EEBC39" w14:textId="3076C3DB"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AvgRMSVoltageProfileDataLog</w:t>
      </w:r>
      <w:r w:rsidR="002F6D02" w:rsidRPr="002F6D02" w:rsidDel="002F6D02">
        <w:t xml:space="preserve"> </w:t>
      </w:r>
      <w:r w:rsidR="005A2021">
        <w:t xml:space="preserve">(with its </w:t>
      </w:r>
      <w:r w:rsidR="002F6D02">
        <w:t>MMC</w:t>
      </w:r>
      <w:r w:rsidR="005A2021">
        <w:t xml:space="preserve"> meaning)</w:t>
      </w:r>
      <w:r w:rsidR="007C3128">
        <w:t>.</w:t>
      </w:r>
    </w:p>
    <w:p w14:paraId="3FE51CE8" w14:textId="7939FFFE" w:rsidR="00162E7F" w:rsidRPr="00947748" w:rsidRDefault="00162E7F" w:rsidP="00162E7F">
      <w:pPr>
        <w:pStyle w:val="Heading3"/>
        <w:keepNext/>
        <w:keepLines/>
        <w:numPr>
          <w:ilvl w:val="2"/>
          <w:numId w:val="8"/>
        </w:numPr>
        <w:jc w:val="left"/>
      </w:pPr>
      <w:r w:rsidRPr="00BB5018">
        <w:t xml:space="preserve">Where the target SMETS1 ESME only supports </w:t>
      </w:r>
      <w:r w:rsidRPr="002C4530">
        <w:t>6</w:t>
      </w:r>
      <w:r>
        <w:t xml:space="preserve">0, 120, 180, 240, 300, 360, 600, 720, 900, 1200 and 1800 </w:t>
      </w:r>
      <w:r w:rsidRPr="00BB5018">
        <w:t xml:space="preserve">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available measurement period if for AverageRMSVoltageMeasurementPeriod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r>
        <w:t xml:space="preserve"> </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101" w:name="_Ref523922708"/>
      <w:r>
        <w:lastRenderedPageBreak/>
        <w:t xml:space="preserve">Table </w:t>
      </w:r>
      <w:fldSimple w:instr=" SEQ Table \* ARABIC ">
        <w:r w:rsidR="00C80262">
          <w:rPr>
            <w:noProof/>
          </w:rPr>
          <w:t>14</w:t>
        </w:r>
      </w:fldSimple>
      <w:bookmarkEnd w:id="101"/>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1B6D81B3" w:rsidR="0084334E" w:rsidRPr="0084334E" w:rsidRDefault="0084334E" w:rsidP="0084334E">
      <w:pPr>
        <w:pStyle w:val="Heading3"/>
        <w:numPr>
          <w:ilvl w:val="2"/>
          <w:numId w:val="8"/>
        </w:numPr>
      </w:pPr>
      <w:r w:rsidRPr="0084334E">
        <w:t xml:space="preserve">Where the target SMETS1 GSME does not support setting of the </w:t>
      </w:r>
      <w:r w:rsidR="00600395">
        <w:t xml:space="preserve">UncontrolledGasFlowRate, </w:t>
      </w:r>
      <w:r w:rsidRPr="0084334E">
        <w:t xml:space="preserve">StabilisationPeriod </w:t>
      </w:r>
      <w:r w:rsidR="00600395">
        <w:t xml:space="preserve">or the </w:t>
      </w:r>
      <w:r w:rsidRPr="0084334E">
        <w:t xml:space="preserve">MeasurementPeriod (with </w:t>
      </w:r>
      <w:r w:rsidR="00600395">
        <w:t>their</w:t>
      </w:r>
      <w:r w:rsidRPr="0084334E">
        <w:t xml:space="preserve"> </w:t>
      </w:r>
      <w:r w:rsidR="00600395">
        <w:t xml:space="preserve">DUIS </w:t>
      </w:r>
      <w:r w:rsidRPr="0084334E">
        <w:t>meaning</w:t>
      </w:r>
      <w:r w:rsidR="00600395">
        <w:t>s</w:t>
      </w:r>
      <w:r w:rsidRPr="0084334E">
        <w:t xml:space="preserve">) the S1SP shall discard the values in </w:t>
      </w:r>
      <w:r w:rsidR="00600395">
        <w:t xml:space="preserve">UncontrolledGasFlowRate, </w:t>
      </w:r>
      <w:r w:rsidRPr="0084334E">
        <w:t>StabilisationPeriod and MeasurementPeriod (with their DUIS meanings) when processing the Service Request.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53157DBA" w:rsidR="00970452" w:rsidRDefault="003A0D99" w:rsidP="00970452">
      <w:pPr>
        <w:pStyle w:val="Heading3"/>
        <w:numPr>
          <w:ilvl w:val="2"/>
          <w:numId w:val="8"/>
        </w:numPr>
      </w:pPr>
      <w:bookmarkStart w:id="102" w:name="_Ref31033376"/>
      <w:r w:rsidRPr="003A0D99">
        <w:t xml:space="preserve">Where the target SMETS1 ESME requires a Billing Calendar (with its SMETS1 meaning) with a start date in the past, and where </w:t>
      </w:r>
      <w:r w:rsidR="004D3F15">
        <w:t>a</w:t>
      </w:r>
      <w:r w:rsidRPr="003A0D99">
        <w:t xml:space="preserve"> Periodicity of </w:t>
      </w:r>
      <w:r w:rsidRPr="003A0D99">
        <w:lastRenderedPageBreak/>
        <w:t xml:space="preserve">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02"/>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55735A3A"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41CCF9AE" w14:textId="3995EDF2"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0FE40381" w14:textId="23984420"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132D1FFD" w14:textId="462CDDDE"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42487786" w14:textId="66453BF1"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6762B1C8" w14:textId="1C2FC100" w:rsidR="00B4537E" w:rsidRPr="00A442F7" w:rsidRDefault="00B4537E" w:rsidP="00097070">
      <w:pPr>
        <w:pStyle w:val="Heading1"/>
        <w:numPr>
          <w:ilvl w:val="1"/>
          <w:numId w:val="2"/>
        </w:numPr>
        <w:rPr>
          <w:rFonts w:ascii="Times New Roman" w:hAnsi="Times New Roman" w:cs="Times New Roman"/>
          <w:szCs w:val="24"/>
        </w:rPr>
      </w:pPr>
      <w:r>
        <w:rPr>
          <w:rFonts w:ascii="Times New Roman" w:hAnsi="Times New Roman" w:cs="Times New Roman"/>
          <w:szCs w:val="24"/>
        </w:rPr>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lastRenderedPageBreak/>
        <w:t xml:space="preserve">Activate Firmware (SRV 11.3) </w:t>
      </w:r>
    </w:p>
    <w:p w14:paraId="6DCD5235" w14:textId="7A853045"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1081413D" w14:textId="29EB9503"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49B0851F" w14:textId="6221D3C0" w:rsidR="00455FD3" w:rsidRPr="00010C51" w:rsidRDefault="00455FD3" w:rsidP="00455FD3">
      <w:pPr>
        <w:pStyle w:val="Heading1"/>
        <w:rPr>
          <w:rFonts w:ascii="Times New Roman" w:hAnsi="Times New Roman" w:cs="Times New Roman"/>
          <w:szCs w:val="24"/>
        </w:rPr>
      </w:pPr>
      <w:bookmarkStart w:id="103" w:name="_Ref521513308"/>
      <w:r>
        <w:rPr>
          <w:rFonts w:ascii="Times New Roman" w:hAnsi="Times New Roman" w:cs="Times New Roman"/>
          <w:szCs w:val="24"/>
        </w:rPr>
        <w:t>S1SP recording of notified details</w:t>
      </w:r>
      <w:bookmarkEnd w:id="75"/>
      <w:bookmarkEnd w:id="103"/>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04"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04"/>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lastRenderedPageBreak/>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05" w:name="_Ref957956"/>
      <w:r w:rsidRPr="00EA26BF">
        <w:rPr>
          <w:rFonts w:ascii="Times New Roman" w:hAnsi="Times New Roman" w:cs="Times New Roman"/>
          <w:szCs w:val="24"/>
        </w:rPr>
        <w:t>Key rotation</w:t>
      </w:r>
      <w:bookmarkEnd w:id="105"/>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06" w:name="_Ref958038"/>
      <w:r>
        <w:rPr>
          <w:rFonts w:ascii="Times New Roman" w:hAnsi="Times New Roman" w:cs="Times New Roman"/>
          <w:szCs w:val="24"/>
        </w:rPr>
        <w:t>Time</w:t>
      </w:r>
      <w:bookmarkEnd w:id="106"/>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07"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08" w:name="_Hlk3407671"/>
      <w:bookmarkEnd w:id="107"/>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09" w:name="_Ref817920"/>
      <w:r w:rsidRPr="008759A3">
        <w:rPr>
          <w:rFonts w:cs="Times New Roman"/>
          <w:szCs w:val="24"/>
        </w:rPr>
        <w:lastRenderedPageBreak/>
        <w:t>The DCC shall ensure that no Critical Instruction is sent to a SMETS1 Device unless the relevant DCO has confirmed that either:</w:t>
      </w:r>
      <w:bookmarkEnd w:id="109"/>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4A292DC0" w:rsidR="005A22CB" w:rsidRDefault="005A22CB" w:rsidP="000524D3">
      <w:pPr>
        <w:pStyle w:val="Heading3"/>
      </w:pPr>
      <w:r>
        <w:t>raise an Incident.</w:t>
      </w:r>
    </w:p>
    <w:p w14:paraId="28CCFFB5" w14:textId="3D1D5731"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26A2AF6B" w14:textId="04780A4D"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bookmarkEnd w:id="108"/>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110"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10"/>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111"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06D9D">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06D9D">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06D9D">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trPr>
        <w:tc>
          <w:tcPr>
            <w:tcW w:w="5524" w:type="dxa"/>
            <w:vAlign w:val="center"/>
          </w:tcPr>
          <w:p w14:paraId="57A7AB6C" w14:textId="1B805A54"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56683064" w14:textId="55C83A30"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2794071E" w:rsidR="00C0498B" w:rsidRDefault="00C80262" w:rsidP="0075179A">
      <w:pPr>
        <w:pStyle w:val="Caption"/>
        <w:rPr>
          <w:noProof/>
        </w:rPr>
      </w:pPr>
      <w:bookmarkStart w:id="112" w:name="_Ref36134012"/>
      <w:bookmarkEnd w:id="111"/>
      <w:r>
        <w:t xml:space="preserve">Table </w:t>
      </w:r>
      <w:fldSimple w:instr=" SEQ Table \* ARABIC ">
        <w:r>
          <w:rPr>
            <w:noProof/>
          </w:rPr>
          <w:t>15</w:t>
        </w:r>
      </w:fldSimple>
      <w:bookmarkEnd w:id="112"/>
    </w:p>
    <w:p w14:paraId="3A055BFD" w14:textId="77777777" w:rsidR="007A44D7" w:rsidRDefault="007A44D7" w:rsidP="007A44D7">
      <w:pPr>
        <w:pStyle w:val="Heading1"/>
        <w:pageBreakBefore/>
        <w:numPr>
          <w:ilvl w:val="0"/>
          <w:numId w:val="0"/>
        </w:numPr>
        <w:rPr>
          <w:rFonts w:eastAsiaTheme="major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7A44D7" w:rsidRPr="0053059B" w14:paraId="46FF3002" w14:textId="77777777" w:rsidTr="00A11182">
        <w:trPr>
          <w:jc w:val="center"/>
        </w:trPr>
        <w:tc>
          <w:tcPr>
            <w:tcW w:w="5524" w:type="dxa"/>
            <w:vAlign w:val="center"/>
          </w:tcPr>
          <w:p w14:paraId="7438FB5E" w14:textId="7B504D3C" w:rsidR="007A44D7" w:rsidRDefault="007A44D7" w:rsidP="007A44D7">
            <w:pPr>
              <w:pStyle w:val="Body2"/>
              <w:spacing w:before="120" w:after="120" w:line="240" w:lineRule="auto"/>
              <w:ind w:left="0"/>
              <w:jc w:val="left"/>
              <w:rPr>
                <w:rFonts w:ascii="Arial" w:hAnsi="Arial" w:cs="Arial"/>
                <w:b/>
                <w:sz w:val="20"/>
                <w:szCs w:val="20"/>
              </w:rPr>
            </w:pPr>
            <w:r>
              <w:rPr>
                <w:rFonts w:ascii="Arial" w:hAnsi="Arial" w:cs="Arial"/>
                <w:b/>
                <w:sz w:val="20"/>
                <w:szCs w:val="20"/>
              </w:rPr>
              <w:t>SRV Affected</w:t>
            </w:r>
          </w:p>
        </w:tc>
        <w:tc>
          <w:tcPr>
            <w:tcW w:w="5524" w:type="dxa"/>
            <w:vAlign w:val="center"/>
          </w:tcPr>
          <w:p w14:paraId="16FD6158" w14:textId="02E06E95" w:rsidR="007A44D7" w:rsidRPr="00125FCE" w:rsidRDefault="007A44D7" w:rsidP="007A44D7">
            <w:pPr>
              <w:pStyle w:val="Body2"/>
              <w:spacing w:before="120" w:after="120" w:line="240" w:lineRule="auto"/>
              <w:ind w:left="0"/>
              <w:jc w:val="left"/>
              <w:rPr>
                <w:rFonts w:ascii="Arial" w:hAnsi="Arial" w:cs="Arial"/>
                <w:b/>
                <w:sz w:val="20"/>
                <w:szCs w:val="20"/>
              </w:rPr>
            </w:pPr>
            <w:r>
              <w:rPr>
                <w:rFonts w:ascii="Arial" w:hAnsi="Arial" w:cs="Arial"/>
                <w:b/>
                <w:sz w:val="20"/>
                <w:szCs w:val="20"/>
              </w:rPr>
              <w:t>Default Parameter (with their SMETS1 meanings)</w:t>
            </w:r>
          </w:p>
        </w:tc>
        <w:tc>
          <w:tcPr>
            <w:tcW w:w="3685" w:type="dxa"/>
            <w:vAlign w:val="center"/>
          </w:tcPr>
          <w:p w14:paraId="118C1B47" w14:textId="672D1C46" w:rsidR="007A44D7" w:rsidRPr="007A44D7" w:rsidRDefault="007A44D7" w:rsidP="007A44D7">
            <w:pPr>
              <w:pStyle w:val="Body2"/>
              <w:spacing w:before="120" w:after="120" w:line="240" w:lineRule="auto"/>
              <w:ind w:left="0"/>
              <w:jc w:val="left"/>
              <w:rPr>
                <w:rFonts w:ascii="Arial" w:hAnsi="Arial" w:cs="Arial"/>
                <w:bCs/>
                <w:sz w:val="20"/>
                <w:szCs w:val="20"/>
              </w:rPr>
            </w:pPr>
            <w:r w:rsidRPr="007A44D7">
              <w:rPr>
                <w:rFonts w:ascii="Arial" w:hAnsi="Arial" w:cs="Arial"/>
                <w:bCs/>
                <w:sz w:val="20"/>
                <w:szCs w:val="20"/>
              </w:rPr>
              <w:t>Value</w:t>
            </w:r>
          </w:p>
        </w:tc>
      </w:tr>
      <w:tr w:rsidR="002839EF" w:rsidRPr="0053059B" w14:paraId="1628F1A5" w14:textId="77777777" w:rsidTr="00A11182">
        <w:trPr>
          <w:jc w:val="center"/>
        </w:trPr>
        <w:tc>
          <w:tcPr>
            <w:tcW w:w="5524" w:type="dxa"/>
            <w:vAlign w:val="center"/>
          </w:tcPr>
          <w:p w14:paraId="719E64FD"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3301C811" w14:textId="7E10F9EB" w:rsidR="00B3165E" w:rsidRDefault="00B3165E"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2.1</w:t>
            </w:r>
          </w:p>
        </w:tc>
        <w:tc>
          <w:tcPr>
            <w:tcW w:w="5524" w:type="dxa"/>
            <w:vAlign w:val="center"/>
          </w:tcPr>
          <w:p w14:paraId="56927368" w14:textId="2E24070F" w:rsidR="002839EF" w:rsidRDefault="007A44D7" w:rsidP="00E360B6">
            <w:pPr>
              <w:pStyle w:val="Body2"/>
              <w:spacing w:before="120" w:after="120" w:line="240" w:lineRule="auto"/>
              <w:ind w:left="0"/>
              <w:jc w:val="left"/>
              <w:rPr>
                <w:rFonts w:ascii="Arial" w:hAnsi="Arial" w:cs="Arial"/>
                <w:b/>
                <w:sz w:val="20"/>
                <w:szCs w:val="20"/>
              </w:rPr>
            </w:pPr>
            <w:r>
              <w:rPr>
                <w:rFonts w:asciiTheme="minorHAnsi" w:hAnsiTheme="minorHAnsi" w:cstheme="minorHAnsi"/>
                <w:color w:val="000000"/>
              </w:rPr>
              <w:t>Number of minutes to defer Disablement of Supply due to insufficient credit.</w:t>
            </w:r>
          </w:p>
        </w:tc>
        <w:tc>
          <w:tcPr>
            <w:tcW w:w="3685" w:type="dxa"/>
            <w:vAlign w:val="center"/>
          </w:tcPr>
          <w:p w14:paraId="4B625378" w14:textId="69C2B782" w:rsidR="002839EF" w:rsidRPr="007A44D7" w:rsidRDefault="002839EF" w:rsidP="00EE6A5E">
            <w:pPr>
              <w:pStyle w:val="Body2"/>
              <w:spacing w:before="120" w:after="120" w:line="240" w:lineRule="auto"/>
              <w:ind w:left="0"/>
              <w:jc w:val="left"/>
              <w:rPr>
                <w:rFonts w:ascii="Arial" w:hAnsi="Arial" w:cs="Arial"/>
                <w:bCs/>
                <w:sz w:val="20"/>
                <w:szCs w:val="20"/>
              </w:rPr>
            </w:pPr>
            <w:r w:rsidRPr="007A44D7">
              <w:rPr>
                <w:rFonts w:ascii="Arial" w:hAnsi="Arial" w:cs="Arial"/>
                <w:bCs/>
                <w:sz w:val="20"/>
                <w:szCs w:val="20"/>
              </w:rPr>
              <w:t>0</w:t>
            </w:r>
          </w:p>
        </w:tc>
      </w:tr>
      <w:tr w:rsidR="002839EF" w:rsidRPr="0053059B" w14:paraId="773B5209" w14:textId="77777777" w:rsidTr="00A11182">
        <w:trPr>
          <w:jc w:val="center"/>
        </w:trPr>
        <w:tc>
          <w:tcPr>
            <w:tcW w:w="5524" w:type="dxa"/>
            <w:vAlign w:val="center"/>
          </w:tcPr>
          <w:p w14:paraId="5BFAA26F"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0DF4EB52" w14:textId="7BFAC297" w:rsidR="00104E19" w:rsidDel="00E84C6E" w:rsidRDefault="00104E1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2.1</w:t>
            </w:r>
          </w:p>
        </w:tc>
        <w:tc>
          <w:tcPr>
            <w:tcW w:w="5524" w:type="dxa"/>
            <w:vAlign w:val="center"/>
          </w:tcPr>
          <w:p w14:paraId="63B698FA" w14:textId="58036EA5" w:rsidR="002839EF" w:rsidRDefault="00410624" w:rsidP="00E360B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6F179851" w14:textId="100BFF2D" w:rsidR="002839EF" w:rsidRPr="007A44D7" w:rsidRDefault="007A44D7" w:rsidP="004A00C7">
            <w:pPr>
              <w:pStyle w:val="Body2"/>
              <w:spacing w:before="120" w:after="120" w:line="240" w:lineRule="auto"/>
              <w:ind w:left="0"/>
              <w:jc w:val="left"/>
              <w:rPr>
                <w:rFonts w:ascii="Arial" w:hAnsi="Arial" w:cs="Arial"/>
                <w:bCs/>
                <w:sz w:val="20"/>
                <w:szCs w:val="20"/>
              </w:rPr>
            </w:pPr>
            <w:r w:rsidRPr="007A44D7">
              <w:rPr>
                <w:rFonts w:ascii="Arial" w:hAnsi="Arial" w:cs="Arial"/>
                <w:bCs/>
                <w:sz w:val="20"/>
                <w:szCs w:val="20"/>
              </w:rPr>
              <w:t>100</w:t>
            </w:r>
            <w:r w:rsidR="00EE6A5E" w:rsidRPr="007A44D7">
              <w:rPr>
                <w:rFonts w:ascii="Arial" w:hAnsi="Arial" w:cs="Arial"/>
                <w:bCs/>
                <w:sz w:val="20"/>
                <w:szCs w:val="20"/>
              </w:rPr>
              <w:t>kW</w:t>
            </w:r>
          </w:p>
        </w:tc>
      </w:tr>
      <w:tr w:rsidR="002839EF" w:rsidRPr="0053059B" w14:paraId="0127AEDB" w14:textId="77777777" w:rsidTr="00A11182">
        <w:trPr>
          <w:jc w:val="center"/>
        </w:trPr>
        <w:tc>
          <w:tcPr>
            <w:tcW w:w="5524" w:type="dxa"/>
            <w:vAlign w:val="center"/>
          </w:tcPr>
          <w:p w14:paraId="377C4D8F"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574E2B6A" w14:textId="75E8B63C" w:rsidR="0076373A" w:rsidRDefault="0076373A"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2.1</w:t>
            </w:r>
          </w:p>
        </w:tc>
        <w:tc>
          <w:tcPr>
            <w:tcW w:w="5524" w:type="dxa"/>
            <w:vAlign w:val="center"/>
          </w:tcPr>
          <w:p w14:paraId="02F440D5" w14:textId="6A08310A" w:rsidR="002839EF" w:rsidDel="00E84C6E" w:rsidRDefault="002839EF" w:rsidP="00E360B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6F67EE23" w14:textId="641E8213" w:rsidR="002839EF" w:rsidRPr="007A44D7" w:rsidRDefault="002839EF" w:rsidP="00EE6A5E">
            <w:pPr>
              <w:pStyle w:val="Body2"/>
              <w:spacing w:before="120" w:after="120" w:line="240" w:lineRule="auto"/>
              <w:ind w:left="0"/>
              <w:jc w:val="left"/>
              <w:rPr>
                <w:rFonts w:ascii="Arial" w:hAnsi="Arial" w:cs="Arial"/>
                <w:bCs/>
                <w:sz w:val="20"/>
                <w:szCs w:val="20"/>
              </w:rPr>
            </w:pPr>
            <w:r w:rsidRPr="007A44D7">
              <w:rPr>
                <w:rFonts w:ascii="Arial" w:hAnsi="Arial" w:cs="Arial"/>
                <w:bCs/>
                <w:sz w:val="20"/>
                <w:szCs w:val="20"/>
              </w:rPr>
              <w:t>0</w:t>
            </w:r>
          </w:p>
        </w:tc>
      </w:tr>
      <w:tr w:rsidR="002839EF" w:rsidRPr="0053059B" w14:paraId="0B21099E" w14:textId="77777777" w:rsidTr="00A11182">
        <w:trPr>
          <w:jc w:val="center"/>
        </w:trPr>
        <w:tc>
          <w:tcPr>
            <w:tcW w:w="5524" w:type="dxa"/>
            <w:vAlign w:val="center"/>
          </w:tcPr>
          <w:p w14:paraId="038F6383"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403F9495"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1B6CCB4" w14:textId="402E5627" w:rsidR="000C7249" w:rsidRDefault="000C7249" w:rsidP="00E360B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2.1</w:t>
            </w:r>
          </w:p>
        </w:tc>
        <w:tc>
          <w:tcPr>
            <w:tcW w:w="5524" w:type="dxa"/>
            <w:vAlign w:val="center"/>
          </w:tcPr>
          <w:p w14:paraId="3F64F2D8" w14:textId="549B831D" w:rsidR="002839EF" w:rsidRDefault="00570E3D" w:rsidP="00EE6A5E">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1EC51E1D" w14:textId="170912C8" w:rsidR="002839EF" w:rsidRPr="007A44D7" w:rsidRDefault="009B2FAE" w:rsidP="00EE6A5E">
            <w:pPr>
              <w:pStyle w:val="Body2"/>
              <w:spacing w:before="120" w:after="120" w:line="240" w:lineRule="auto"/>
              <w:ind w:left="0"/>
              <w:jc w:val="left"/>
              <w:rPr>
                <w:rFonts w:ascii="Arial" w:hAnsi="Arial" w:cs="Arial"/>
                <w:bCs/>
                <w:sz w:val="20"/>
                <w:szCs w:val="20"/>
              </w:rPr>
            </w:pPr>
            <w:r w:rsidRPr="007A44D7">
              <w:rPr>
                <w:rFonts w:ascii="Arial" w:hAnsi="Arial" w:cs="Arial"/>
                <w:bCs/>
                <w:sz w:val="20"/>
                <w:szCs w:val="20"/>
              </w:rPr>
              <w:t>False</w:t>
            </w:r>
          </w:p>
        </w:tc>
      </w:tr>
      <w:tr w:rsidR="00754C8B" w:rsidRPr="0053059B" w14:paraId="76D1838D" w14:textId="77777777" w:rsidTr="00A11182">
        <w:trPr>
          <w:jc w:val="center"/>
        </w:trPr>
        <w:tc>
          <w:tcPr>
            <w:tcW w:w="5524" w:type="dxa"/>
            <w:vAlign w:val="center"/>
          </w:tcPr>
          <w:p w14:paraId="22EA15B4" w14:textId="61C13890" w:rsidR="00754C8B" w:rsidRDefault="00AA23D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tc>
        <w:tc>
          <w:tcPr>
            <w:tcW w:w="5524" w:type="dxa"/>
            <w:vAlign w:val="center"/>
          </w:tcPr>
          <w:p w14:paraId="094F4FAB" w14:textId="7840FD6C" w:rsidR="00754C8B" w:rsidRDefault="00754C8B"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42B00C37" w14:textId="413B7AEF" w:rsidR="00754C8B" w:rsidRPr="007A44D7" w:rsidRDefault="00A954C4" w:rsidP="00E360B6">
            <w:pPr>
              <w:pStyle w:val="Body2"/>
              <w:spacing w:before="120" w:after="120" w:line="240" w:lineRule="auto"/>
              <w:ind w:left="0"/>
              <w:jc w:val="left"/>
              <w:rPr>
                <w:rFonts w:ascii="Arial" w:hAnsi="Arial" w:cs="Arial"/>
                <w:bCs/>
                <w:sz w:val="20"/>
                <w:szCs w:val="20"/>
              </w:rPr>
            </w:pPr>
            <w:r w:rsidRPr="007A44D7">
              <w:rPr>
                <w:rFonts w:ascii="Arial" w:hAnsi="Arial" w:cs="Arial"/>
                <w:bCs/>
                <w:sz w:val="20"/>
                <w:szCs w:val="20"/>
              </w:rPr>
              <w:t>False</w:t>
            </w:r>
          </w:p>
        </w:tc>
      </w:tr>
      <w:tr w:rsidR="00F73B55" w:rsidRPr="0053059B" w14:paraId="275177B9" w14:textId="77777777" w:rsidTr="00A11182">
        <w:trPr>
          <w:jc w:val="center"/>
        </w:trPr>
        <w:tc>
          <w:tcPr>
            <w:tcW w:w="5524" w:type="dxa"/>
            <w:vAlign w:val="center"/>
          </w:tcPr>
          <w:p w14:paraId="333E79BD"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1BC72298" w14:textId="3B4472FB" w:rsidR="00F73B55" w:rsidRDefault="00F73B55"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tc>
        <w:tc>
          <w:tcPr>
            <w:tcW w:w="5524" w:type="dxa"/>
            <w:vAlign w:val="center"/>
          </w:tcPr>
          <w:p w14:paraId="4186EB40" w14:textId="6291E332" w:rsidR="00F73B55" w:rsidRDefault="007A44D7" w:rsidP="00E360B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Trigger for the resetting of Block Counters</w:t>
            </w:r>
          </w:p>
        </w:tc>
        <w:tc>
          <w:tcPr>
            <w:tcW w:w="3685" w:type="dxa"/>
            <w:vAlign w:val="center"/>
          </w:tcPr>
          <w:p w14:paraId="6FFBBB68" w14:textId="27A16E82" w:rsidR="00F73B55" w:rsidRPr="007A44D7" w:rsidRDefault="00C41CBA" w:rsidP="00EE6A5E">
            <w:pPr>
              <w:pStyle w:val="Body2"/>
              <w:spacing w:before="120" w:after="120" w:line="240" w:lineRule="auto"/>
              <w:ind w:left="0"/>
              <w:jc w:val="left"/>
              <w:rPr>
                <w:rFonts w:ascii="Arial" w:hAnsi="Arial" w:cs="Arial"/>
                <w:bCs/>
                <w:sz w:val="20"/>
                <w:szCs w:val="20"/>
              </w:rPr>
            </w:pPr>
            <w:r w:rsidRPr="007A44D7">
              <w:rPr>
                <w:rFonts w:ascii="Arial" w:hAnsi="Arial" w:cs="Arial"/>
                <w:bCs/>
                <w:sz w:val="20"/>
                <w:szCs w:val="20"/>
              </w:rPr>
              <w:t>Billing Calendar</w:t>
            </w:r>
          </w:p>
        </w:tc>
      </w:tr>
      <w:tr w:rsidR="002E5D46" w:rsidRPr="0053059B" w14:paraId="21EF10AB" w14:textId="77777777" w:rsidTr="00406A43">
        <w:trPr>
          <w:jc w:val="center"/>
        </w:trPr>
        <w:tc>
          <w:tcPr>
            <w:tcW w:w="5524" w:type="dxa"/>
            <w:vAlign w:val="center"/>
          </w:tcPr>
          <w:p w14:paraId="5ACD15FD"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02618527" w14:textId="19B1B6DA" w:rsidR="008E112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2.1</w:t>
            </w:r>
          </w:p>
        </w:tc>
        <w:tc>
          <w:tcPr>
            <w:tcW w:w="5524" w:type="dxa"/>
            <w:vAlign w:val="center"/>
          </w:tcPr>
          <w:p w14:paraId="723DE1F6" w14:textId="28C51C7B" w:rsidR="002E5D46" w:rsidRDefault="007A44D7"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The time basis.</w:t>
            </w:r>
          </w:p>
        </w:tc>
        <w:tc>
          <w:tcPr>
            <w:tcW w:w="3685" w:type="dxa"/>
            <w:vAlign w:val="center"/>
          </w:tcPr>
          <w:p w14:paraId="4B128E6F" w14:textId="32533275" w:rsidR="002E5D46" w:rsidRPr="007A44D7" w:rsidRDefault="00A11182" w:rsidP="002E5D46">
            <w:pPr>
              <w:pStyle w:val="Body2"/>
              <w:spacing w:before="120" w:after="120" w:line="240" w:lineRule="auto"/>
              <w:ind w:left="0"/>
              <w:jc w:val="left"/>
              <w:rPr>
                <w:rFonts w:ascii="Arial" w:hAnsi="Arial" w:cs="Arial"/>
                <w:bCs/>
                <w:sz w:val="20"/>
                <w:szCs w:val="20"/>
              </w:rPr>
            </w:pPr>
            <w:r w:rsidRPr="007A44D7">
              <w:rPr>
                <w:rFonts w:ascii="Arial" w:hAnsi="Arial" w:cs="Arial"/>
                <w:bCs/>
                <w:sz w:val="20"/>
                <w:szCs w:val="20"/>
              </w:rPr>
              <w:t>UTC</w:t>
            </w:r>
          </w:p>
        </w:tc>
      </w:tr>
    </w:tbl>
    <w:p w14:paraId="4AC3E124" w14:textId="77777777" w:rsidR="00621C41" w:rsidRPr="00621C41" w:rsidRDefault="00621C41" w:rsidP="00AA0ECD">
      <w:pPr>
        <w:pStyle w:val="Body1"/>
        <w:rPr>
          <w:rFonts w:eastAsiaTheme="majorEastAsia"/>
        </w:rPr>
      </w:pPr>
    </w:p>
    <w:sectPr w:rsidR="00621C41" w:rsidRPr="00621C41"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58CFF" w14:textId="77777777" w:rsidR="00965484" w:rsidRDefault="00965484">
      <w:r>
        <w:separator/>
      </w:r>
    </w:p>
  </w:endnote>
  <w:endnote w:type="continuationSeparator" w:id="0">
    <w:p w14:paraId="2F51BE07" w14:textId="77777777" w:rsidR="00965484" w:rsidRDefault="00965484">
      <w:r>
        <w:continuationSeparator/>
      </w:r>
    </w:p>
  </w:endnote>
  <w:endnote w:type="continuationNotice" w:id="1">
    <w:p w14:paraId="40BD88EA" w14:textId="77777777" w:rsidR="00965484" w:rsidRDefault="00965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B52A39" w:rsidRDefault="00B52A39"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D1B6" w14:textId="77777777" w:rsidR="00965484" w:rsidRDefault="00965484">
      <w:r>
        <w:separator/>
      </w:r>
    </w:p>
  </w:footnote>
  <w:footnote w:type="continuationSeparator" w:id="0">
    <w:p w14:paraId="2E1A8F8F" w14:textId="77777777" w:rsidR="00965484" w:rsidRDefault="00965484">
      <w:r>
        <w:continuationSeparator/>
      </w:r>
    </w:p>
  </w:footnote>
  <w:footnote w:type="continuationNotice" w:id="1">
    <w:p w14:paraId="07E77EFD" w14:textId="77777777" w:rsidR="00965484" w:rsidRDefault="00965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B52A39" w:rsidRPr="005067C6" w:rsidRDefault="00B52A39"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163C7"/>
    <w:multiLevelType w:val="hybridMultilevel"/>
    <w:tmpl w:val="3D86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461F5B2D"/>
    <w:multiLevelType w:val="multilevel"/>
    <w:tmpl w:val="1F5C8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6"/>
  </w:num>
  <w:num w:numId="4">
    <w:abstractNumId w:val="5"/>
  </w:num>
  <w:num w:numId="5">
    <w:abstractNumId w:val="12"/>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
  </w:num>
  <w:num w:numId="24">
    <w:abstractNumId w:val="1"/>
  </w:num>
  <w:num w:numId="2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A69"/>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8BA"/>
    <w:rsid w:val="0004493F"/>
    <w:rsid w:val="00044963"/>
    <w:rsid w:val="00044C7C"/>
    <w:rsid w:val="00045300"/>
    <w:rsid w:val="000459D4"/>
    <w:rsid w:val="00045B54"/>
    <w:rsid w:val="00045FD1"/>
    <w:rsid w:val="00046468"/>
    <w:rsid w:val="0004664A"/>
    <w:rsid w:val="00046824"/>
    <w:rsid w:val="00047023"/>
    <w:rsid w:val="000470A6"/>
    <w:rsid w:val="00047B18"/>
    <w:rsid w:val="000502A8"/>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6C1"/>
    <w:rsid w:val="000649F9"/>
    <w:rsid w:val="00064C03"/>
    <w:rsid w:val="00065432"/>
    <w:rsid w:val="000658AF"/>
    <w:rsid w:val="000661F9"/>
    <w:rsid w:val="000663E6"/>
    <w:rsid w:val="0006686F"/>
    <w:rsid w:val="00066E1B"/>
    <w:rsid w:val="00067285"/>
    <w:rsid w:val="00067370"/>
    <w:rsid w:val="00067EEE"/>
    <w:rsid w:val="00070467"/>
    <w:rsid w:val="00070D8C"/>
    <w:rsid w:val="00071477"/>
    <w:rsid w:val="00071FF0"/>
    <w:rsid w:val="00072483"/>
    <w:rsid w:val="0007250E"/>
    <w:rsid w:val="00073047"/>
    <w:rsid w:val="00073222"/>
    <w:rsid w:val="000735ED"/>
    <w:rsid w:val="00074823"/>
    <w:rsid w:val="00074B96"/>
    <w:rsid w:val="00074E3A"/>
    <w:rsid w:val="00074FF1"/>
    <w:rsid w:val="00075D85"/>
    <w:rsid w:val="00075E3A"/>
    <w:rsid w:val="0007605F"/>
    <w:rsid w:val="000763D5"/>
    <w:rsid w:val="000765B1"/>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737"/>
    <w:rsid w:val="00093CD9"/>
    <w:rsid w:val="0009494B"/>
    <w:rsid w:val="00094A56"/>
    <w:rsid w:val="00094C4F"/>
    <w:rsid w:val="0009564D"/>
    <w:rsid w:val="00095A4F"/>
    <w:rsid w:val="00095E2F"/>
    <w:rsid w:val="00096067"/>
    <w:rsid w:val="0009624F"/>
    <w:rsid w:val="0009685B"/>
    <w:rsid w:val="00096A0D"/>
    <w:rsid w:val="00097070"/>
    <w:rsid w:val="000974ED"/>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C79"/>
    <w:rsid w:val="000A2D1E"/>
    <w:rsid w:val="000A2DD5"/>
    <w:rsid w:val="000A2EB3"/>
    <w:rsid w:val="000A3499"/>
    <w:rsid w:val="000A3649"/>
    <w:rsid w:val="000A4152"/>
    <w:rsid w:val="000A5306"/>
    <w:rsid w:val="000A5371"/>
    <w:rsid w:val="000A5947"/>
    <w:rsid w:val="000A5D69"/>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4EC"/>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249"/>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6B0"/>
    <w:rsid w:val="000D484E"/>
    <w:rsid w:val="000D4901"/>
    <w:rsid w:val="000D4F9E"/>
    <w:rsid w:val="000D570C"/>
    <w:rsid w:val="000D5CBE"/>
    <w:rsid w:val="000D5CD1"/>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5680"/>
    <w:rsid w:val="000E64E1"/>
    <w:rsid w:val="000E6B67"/>
    <w:rsid w:val="000E6C45"/>
    <w:rsid w:val="000E70A3"/>
    <w:rsid w:val="000E7293"/>
    <w:rsid w:val="000E79C0"/>
    <w:rsid w:val="000E7BA6"/>
    <w:rsid w:val="000E7F92"/>
    <w:rsid w:val="000F0465"/>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0F7BC6"/>
    <w:rsid w:val="00100049"/>
    <w:rsid w:val="001005EC"/>
    <w:rsid w:val="00100B58"/>
    <w:rsid w:val="001013A8"/>
    <w:rsid w:val="00101C69"/>
    <w:rsid w:val="00101E48"/>
    <w:rsid w:val="001021C5"/>
    <w:rsid w:val="00102816"/>
    <w:rsid w:val="00102BAA"/>
    <w:rsid w:val="00103689"/>
    <w:rsid w:val="001038AE"/>
    <w:rsid w:val="00103C6E"/>
    <w:rsid w:val="00103F8A"/>
    <w:rsid w:val="001044CE"/>
    <w:rsid w:val="0010480A"/>
    <w:rsid w:val="00104AB2"/>
    <w:rsid w:val="00104E19"/>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2C3B"/>
    <w:rsid w:val="001130E6"/>
    <w:rsid w:val="001132E1"/>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2BED"/>
    <w:rsid w:val="001340DF"/>
    <w:rsid w:val="00134310"/>
    <w:rsid w:val="001347C3"/>
    <w:rsid w:val="0013546A"/>
    <w:rsid w:val="0013547F"/>
    <w:rsid w:val="00135814"/>
    <w:rsid w:val="00136B4D"/>
    <w:rsid w:val="001373E3"/>
    <w:rsid w:val="00137789"/>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381"/>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A1C"/>
    <w:rsid w:val="00162E7F"/>
    <w:rsid w:val="00163920"/>
    <w:rsid w:val="00164664"/>
    <w:rsid w:val="00164720"/>
    <w:rsid w:val="0016479D"/>
    <w:rsid w:val="00164E71"/>
    <w:rsid w:val="00165081"/>
    <w:rsid w:val="001651A4"/>
    <w:rsid w:val="0016520E"/>
    <w:rsid w:val="00165622"/>
    <w:rsid w:val="00165EAC"/>
    <w:rsid w:val="00166112"/>
    <w:rsid w:val="00166451"/>
    <w:rsid w:val="00166855"/>
    <w:rsid w:val="00166A11"/>
    <w:rsid w:val="00166AAD"/>
    <w:rsid w:val="00166DF5"/>
    <w:rsid w:val="0016706D"/>
    <w:rsid w:val="00167D94"/>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3AA"/>
    <w:rsid w:val="00184626"/>
    <w:rsid w:val="00184B1B"/>
    <w:rsid w:val="001850B8"/>
    <w:rsid w:val="00185AC4"/>
    <w:rsid w:val="00185C70"/>
    <w:rsid w:val="0018636A"/>
    <w:rsid w:val="0018666E"/>
    <w:rsid w:val="00186DF6"/>
    <w:rsid w:val="00186EB4"/>
    <w:rsid w:val="0018738A"/>
    <w:rsid w:val="00187D08"/>
    <w:rsid w:val="00187D46"/>
    <w:rsid w:val="00190093"/>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B52"/>
    <w:rsid w:val="001A3C4A"/>
    <w:rsid w:val="001A4220"/>
    <w:rsid w:val="001A46E5"/>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7BF"/>
    <w:rsid w:val="001D3BA4"/>
    <w:rsid w:val="001D42A0"/>
    <w:rsid w:val="001D4881"/>
    <w:rsid w:val="001D4A1A"/>
    <w:rsid w:val="001D4EA2"/>
    <w:rsid w:val="001D532D"/>
    <w:rsid w:val="001D5C97"/>
    <w:rsid w:val="001D5CB3"/>
    <w:rsid w:val="001D5CB4"/>
    <w:rsid w:val="001D5D67"/>
    <w:rsid w:val="001D7675"/>
    <w:rsid w:val="001D7CF4"/>
    <w:rsid w:val="001E0EBB"/>
    <w:rsid w:val="001E12D3"/>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2F88"/>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218"/>
    <w:rsid w:val="00203AA1"/>
    <w:rsid w:val="00203DCA"/>
    <w:rsid w:val="0020400F"/>
    <w:rsid w:val="002044E4"/>
    <w:rsid w:val="00204561"/>
    <w:rsid w:val="00204ECF"/>
    <w:rsid w:val="00205832"/>
    <w:rsid w:val="00205B55"/>
    <w:rsid w:val="00205DA4"/>
    <w:rsid w:val="00206043"/>
    <w:rsid w:val="0020651F"/>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6BA"/>
    <w:rsid w:val="00222F8E"/>
    <w:rsid w:val="00223F31"/>
    <w:rsid w:val="00224591"/>
    <w:rsid w:val="0022497D"/>
    <w:rsid w:val="00224AE2"/>
    <w:rsid w:val="00224B43"/>
    <w:rsid w:val="002255D7"/>
    <w:rsid w:val="0022615F"/>
    <w:rsid w:val="00226318"/>
    <w:rsid w:val="00226362"/>
    <w:rsid w:val="00226480"/>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3E1"/>
    <w:rsid w:val="00255682"/>
    <w:rsid w:val="00255C12"/>
    <w:rsid w:val="00255C77"/>
    <w:rsid w:val="00256599"/>
    <w:rsid w:val="00256601"/>
    <w:rsid w:val="0025672E"/>
    <w:rsid w:val="0025706A"/>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DF5"/>
    <w:rsid w:val="0029244A"/>
    <w:rsid w:val="0029283D"/>
    <w:rsid w:val="00293D26"/>
    <w:rsid w:val="00294C32"/>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0AC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F7C"/>
    <w:rsid w:val="002C4EB1"/>
    <w:rsid w:val="002C508C"/>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AC6"/>
    <w:rsid w:val="002E1ADA"/>
    <w:rsid w:val="002E1DCC"/>
    <w:rsid w:val="002E204B"/>
    <w:rsid w:val="002E36D9"/>
    <w:rsid w:val="002E3CD3"/>
    <w:rsid w:val="002E4197"/>
    <w:rsid w:val="002E4D2D"/>
    <w:rsid w:val="002E55A7"/>
    <w:rsid w:val="002E5CC8"/>
    <w:rsid w:val="002E5D46"/>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5480"/>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1D84"/>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58D9"/>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E2B"/>
    <w:rsid w:val="00343FFF"/>
    <w:rsid w:val="003444E5"/>
    <w:rsid w:val="00344F7B"/>
    <w:rsid w:val="00345E17"/>
    <w:rsid w:val="00345FEB"/>
    <w:rsid w:val="0034640D"/>
    <w:rsid w:val="00346C30"/>
    <w:rsid w:val="00346FBC"/>
    <w:rsid w:val="003473D1"/>
    <w:rsid w:val="00347795"/>
    <w:rsid w:val="00347BC0"/>
    <w:rsid w:val="00350659"/>
    <w:rsid w:val="00351457"/>
    <w:rsid w:val="00351591"/>
    <w:rsid w:val="00351629"/>
    <w:rsid w:val="003517F8"/>
    <w:rsid w:val="003520CE"/>
    <w:rsid w:val="00352351"/>
    <w:rsid w:val="003525BC"/>
    <w:rsid w:val="00352FF2"/>
    <w:rsid w:val="00353AB4"/>
    <w:rsid w:val="00353CC8"/>
    <w:rsid w:val="0035419A"/>
    <w:rsid w:val="00354D59"/>
    <w:rsid w:val="00355866"/>
    <w:rsid w:val="00355BB4"/>
    <w:rsid w:val="003573CE"/>
    <w:rsid w:val="003605A1"/>
    <w:rsid w:val="00360CCF"/>
    <w:rsid w:val="00360DD4"/>
    <w:rsid w:val="00360E2F"/>
    <w:rsid w:val="0036147A"/>
    <w:rsid w:val="003619D6"/>
    <w:rsid w:val="003624EA"/>
    <w:rsid w:val="0036271F"/>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5F4"/>
    <w:rsid w:val="003955B8"/>
    <w:rsid w:val="003966EF"/>
    <w:rsid w:val="00396E1A"/>
    <w:rsid w:val="003974B5"/>
    <w:rsid w:val="003A0179"/>
    <w:rsid w:val="003A058F"/>
    <w:rsid w:val="003A083A"/>
    <w:rsid w:val="003A0D99"/>
    <w:rsid w:val="003A2A85"/>
    <w:rsid w:val="003A2C8C"/>
    <w:rsid w:val="003A2CDA"/>
    <w:rsid w:val="003A2F2C"/>
    <w:rsid w:val="003A39D0"/>
    <w:rsid w:val="003A3E9E"/>
    <w:rsid w:val="003A3EDA"/>
    <w:rsid w:val="003A49E9"/>
    <w:rsid w:val="003A5081"/>
    <w:rsid w:val="003A5572"/>
    <w:rsid w:val="003A5741"/>
    <w:rsid w:val="003A5939"/>
    <w:rsid w:val="003A5A12"/>
    <w:rsid w:val="003A5C45"/>
    <w:rsid w:val="003A5F2D"/>
    <w:rsid w:val="003A61D7"/>
    <w:rsid w:val="003A697D"/>
    <w:rsid w:val="003A6D08"/>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17C4"/>
    <w:rsid w:val="003D200E"/>
    <w:rsid w:val="003D204D"/>
    <w:rsid w:val="003D2AB7"/>
    <w:rsid w:val="003D2C52"/>
    <w:rsid w:val="003D393E"/>
    <w:rsid w:val="003D3CA2"/>
    <w:rsid w:val="003D3CBD"/>
    <w:rsid w:val="003D3D91"/>
    <w:rsid w:val="003D4763"/>
    <w:rsid w:val="003D5085"/>
    <w:rsid w:val="003D5319"/>
    <w:rsid w:val="003D629C"/>
    <w:rsid w:val="003D636D"/>
    <w:rsid w:val="003D6F32"/>
    <w:rsid w:val="003D7064"/>
    <w:rsid w:val="003D7A9B"/>
    <w:rsid w:val="003D7AA4"/>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6A43"/>
    <w:rsid w:val="004072DA"/>
    <w:rsid w:val="00407350"/>
    <w:rsid w:val="004100BF"/>
    <w:rsid w:val="00410624"/>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7404"/>
    <w:rsid w:val="00420644"/>
    <w:rsid w:val="00420889"/>
    <w:rsid w:val="00420BDE"/>
    <w:rsid w:val="00421352"/>
    <w:rsid w:val="004223B7"/>
    <w:rsid w:val="004226BE"/>
    <w:rsid w:val="004226E0"/>
    <w:rsid w:val="004231BB"/>
    <w:rsid w:val="004232C4"/>
    <w:rsid w:val="00423862"/>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160"/>
    <w:rsid w:val="0043740F"/>
    <w:rsid w:val="004374B7"/>
    <w:rsid w:val="00440276"/>
    <w:rsid w:val="004402E9"/>
    <w:rsid w:val="00440314"/>
    <w:rsid w:val="00440A42"/>
    <w:rsid w:val="00440A9C"/>
    <w:rsid w:val="00440B22"/>
    <w:rsid w:val="00440C3D"/>
    <w:rsid w:val="004415C0"/>
    <w:rsid w:val="004421FE"/>
    <w:rsid w:val="004423FE"/>
    <w:rsid w:val="0044245B"/>
    <w:rsid w:val="00442E51"/>
    <w:rsid w:val="004438FF"/>
    <w:rsid w:val="00443E8B"/>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E4F"/>
    <w:rsid w:val="00451FDE"/>
    <w:rsid w:val="00452245"/>
    <w:rsid w:val="004525D1"/>
    <w:rsid w:val="00452EC4"/>
    <w:rsid w:val="00453C5C"/>
    <w:rsid w:val="00453DF5"/>
    <w:rsid w:val="00453EC9"/>
    <w:rsid w:val="00454780"/>
    <w:rsid w:val="00455831"/>
    <w:rsid w:val="00455F6F"/>
    <w:rsid w:val="00455FD3"/>
    <w:rsid w:val="004561C3"/>
    <w:rsid w:val="00456228"/>
    <w:rsid w:val="00456583"/>
    <w:rsid w:val="00456C5B"/>
    <w:rsid w:val="004571F2"/>
    <w:rsid w:val="004574B7"/>
    <w:rsid w:val="004600FF"/>
    <w:rsid w:val="00460BDE"/>
    <w:rsid w:val="004611F3"/>
    <w:rsid w:val="00461438"/>
    <w:rsid w:val="0046198A"/>
    <w:rsid w:val="00462297"/>
    <w:rsid w:val="004627B8"/>
    <w:rsid w:val="00462A55"/>
    <w:rsid w:val="00462B06"/>
    <w:rsid w:val="0046407E"/>
    <w:rsid w:val="0046445F"/>
    <w:rsid w:val="00464497"/>
    <w:rsid w:val="00464A2E"/>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764"/>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0C7"/>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001"/>
    <w:rsid w:val="004D322E"/>
    <w:rsid w:val="004D3F15"/>
    <w:rsid w:val="004D4066"/>
    <w:rsid w:val="004D43EB"/>
    <w:rsid w:val="004D50FA"/>
    <w:rsid w:val="004D586D"/>
    <w:rsid w:val="004D5E0A"/>
    <w:rsid w:val="004D64A6"/>
    <w:rsid w:val="004D6EEE"/>
    <w:rsid w:val="004D6FD2"/>
    <w:rsid w:val="004D7AD7"/>
    <w:rsid w:val="004D7DB2"/>
    <w:rsid w:val="004D7E32"/>
    <w:rsid w:val="004E0092"/>
    <w:rsid w:val="004E0229"/>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CE2"/>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17F14"/>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19"/>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924"/>
    <w:rsid w:val="00566A75"/>
    <w:rsid w:val="005674CA"/>
    <w:rsid w:val="00567993"/>
    <w:rsid w:val="005702F0"/>
    <w:rsid w:val="00570533"/>
    <w:rsid w:val="005708AB"/>
    <w:rsid w:val="0057091D"/>
    <w:rsid w:val="00570E3D"/>
    <w:rsid w:val="00571531"/>
    <w:rsid w:val="00572407"/>
    <w:rsid w:val="00572AA4"/>
    <w:rsid w:val="00572CC2"/>
    <w:rsid w:val="0057383D"/>
    <w:rsid w:val="005747E4"/>
    <w:rsid w:val="0057511D"/>
    <w:rsid w:val="00575787"/>
    <w:rsid w:val="0057597B"/>
    <w:rsid w:val="00575C9A"/>
    <w:rsid w:val="00576221"/>
    <w:rsid w:val="00576725"/>
    <w:rsid w:val="00577780"/>
    <w:rsid w:val="00580BEF"/>
    <w:rsid w:val="00580FDF"/>
    <w:rsid w:val="005811BA"/>
    <w:rsid w:val="00581737"/>
    <w:rsid w:val="005818BA"/>
    <w:rsid w:val="00581C9A"/>
    <w:rsid w:val="00581F21"/>
    <w:rsid w:val="00582CF3"/>
    <w:rsid w:val="00582D4B"/>
    <w:rsid w:val="00582E4E"/>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463"/>
    <w:rsid w:val="00594AF2"/>
    <w:rsid w:val="005951C5"/>
    <w:rsid w:val="00595894"/>
    <w:rsid w:val="00595C8C"/>
    <w:rsid w:val="00596910"/>
    <w:rsid w:val="00597634"/>
    <w:rsid w:val="005A056F"/>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26B"/>
    <w:rsid w:val="005C7D8F"/>
    <w:rsid w:val="005D000F"/>
    <w:rsid w:val="005D01F3"/>
    <w:rsid w:val="005D0832"/>
    <w:rsid w:val="005D0BFA"/>
    <w:rsid w:val="005D0D47"/>
    <w:rsid w:val="005D0F86"/>
    <w:rsid w:val="005D10F3"/>
    <w:rsid w:val="005D1260"/>
    <w:rsid w:val="005D194A"/>
    <w:rsid w:val="005D264E"/>
    <w:rsid w:val="005D2B69"/>
    <w:rsid w:val="005D332D"/>
    <w:rsid w:val="005D386E"/>
    <w:rsid w:val="005D42AC"/>
    <w:rsid w:val="005D4741"/>
    <w:rsid w:val="005D4CFA"/>
    <w:rsid w:val="005D4E47"/>
    <w:rsid w:val="005D533A"/>
    <w:rsid w:val="005D5420"/>
    <w:rsid w:val="005D547A"/>
    <w:rsid w:val="005D574B"/>
    <w:rsid w:val="005D6D17"/>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1C41"/>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6F56"/>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B86"/>
    <w:rsid w:val="00655D0C"/>
    <w:rsid w:val="00656220"/>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DAD"/>
    <w:rsid w:val="006A1F65"/>
    <w:rsid w:val="006A2480"/>
    <w:rsid w:val="006A24C2"/>
    <w:rsid w:val="006A2B2E"/>
    <w:rsid w:val="006A2D0B"/>
    <w:rsid w:val="006A2E9D"/>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4ABA"/>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D030E"/>
    <w:rsid w:val="006D05F2"/>
    <w:rsid w:val="006D09B3"/>
    <w:rsid w:val="006D0BDA"/>
    <w:rsid w:val="006D159B"/>
    <w:rsid w:val="006D1903"/>
    <w:rsid w:val="006D1B09"/>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1FCA"/>
    <w:rsid w:val="006E21FA"/>
    <w:rsid w:val="006E2794"/>
    <w:rsid w:val="006E2A0D"/>
    <w:rsid w:val="006E3A53"/>
    <w:rsid w:val="006E4278"/>
    <w:rsid w:val="006E46E1"/>
    <w:rsid w:val="006E5BEE"/>
    <w:rsid w:val="006E6A09"/>
    <w:rsid w:val="006E6B64"/>
    <w:rsid w:val="006E6C10"/>
    <w:rsid w:val="006E75C5"/>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537"/>
    <w:rsid w:val="006F58DF"/>
    <w:rsid w:val="006F5A1C"/>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6D8"/>
    <w:rsid w:val="00703A1A"/>
    <w:rsid w:val="007045B8"/>
    <w:rsid w:val="0070462A"/>
    <w:rsid w:val="007054ED"/>
    <w:rsid w:val="00706590"/>
    <w:rsid w:val="00706946"/>
    <w:rsid w:val="00706964"/>
    <w:rsid w:val="00706A3F"/>
    <w:rsid w:val="00706D9D"/>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228A"/>
    <w:rsid w:val="00722DAC"/>
    <w:rsid w:val="00722E60"/>
    <w:rsid w:val="0072317E"/>
    <w:rsid w:val="0072329C"/>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1206"/>
    <w:rsid w:val="00731417"/>
    <w:rsid w:val="00731508"/>
    <w:rsid w:val="00731934"/>
    <w:rsid w:val="00732311"/>
    <w:rsid w:val="007323D0"/>
    <w:rsid w:val="007324A4"/>
    <w:rsid w:val="00732CFC"/>
    <w:rsid w:val="00732F71"/>
    <w:rsid w:val="00734314"/>
    <w:rsid w:val="00734419"/>
    <w:rsid w:val="0073452B"/>
    <w:rsid w:val="00734C8D"/>
    <w:rsid w:val="00735757"/>
    <w:rsid w:val="00735C70"/>
    <w:rsid w:val="0073608B"/>
    <w:rsid w:val="00736211"/>
    <w:rsid w:val="007376E3"/>
    <w:rsid w:val="00737BD9"/>
    <w:rsid w:val="007400EF"/>
    <w:rsid w:val="00740667"/>
    <w:rsid w:val="007409D8"/>
    <w:rsid w:val="007410E9"/>
    <w:rsid w:val="00741A1D"/>
    <w:rsid w:val="0074213A"/>
    <w:rsid w:val="00742BFE"/>
    <w:rsid w:val="00742E1C"/>
    <w:rsid w:val="00744FCA"/>
    <w:rsid w:val="00745673"/>
    <w:rsid w:val="007458D9"/>
    <w:rsid w:val="00745B4D"/>
    <w:rsid w:val="00745D23"/>
    <w:rsid w:val="007465A7"/>
    <w:rsid w:val="00746882"/>
    <w:rsid w:val="00747037"/>
    <w:rsid w:val="007472C4"/>
    <w:rsid w:val="00747ABB"/>
    <w:rsid w:val="007504E0"/>
    <w:rsid w:val="00751102"/>
    <w:rsid w:val="00751109"/>
    <w:rsid w:val="0075179A"/>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762"/>
    <w:rsid w:val="007614EA"/>
    <w:rsid w:val="00761DA5"/>
    <w:rsid w:val="0076233B"/>
    <w:rsid w:val="0076278D"/>
    <w:rsid w:val="00762B48"/>
    <w:rsid w:val="0076373A"/>
    <w:rsid w:val="0076397B"/>
    <w:rsid w:val="00764513"/>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BD9"/>
    <w:rsid w:val="007A0DF5"/>
    <w:rsid w:val="007A1659"/>
    <w:rsid w:val="007A1B41"/>
    <w:rsid w:val="007A2689"/>
    <w:rsid w:val="007A2789"/>
    <w:rsid w:val="007A33B6"/>
    <w:rsid w:val="007A3464"/>
    <w:rsid w:val="007A3782"/>
    <w:rsid w:val="007A3FDA"/>
    <w:rsid w:val="007A44D7"/>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8E4"/>
    <w:rsid w:val="007C4E7C"/>
    <w:rsid w:val="007C5337"/>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811"/>
    <w:rsid w:val="007E4998"/>
    <w:rsid w:val="007E4CEC"/>
    <w:rsid w:val="007E4D11"/>
    <w:rsid w:val="007E5071"/>
    <w:rsid w:val="007E577D"/>
    <w:rsid w:val="007E59EA"/>
    <w:rsid w:val="007E5B5A"/>
    <w:rsid w:val="007E5D52"/>
    <w:rsid w:val="007E60C0"/>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7D0"/>
    <w:rsid w:val="00810A9B"/>
    <w:rsid w:val="00810D91"/>
    <w:rsid w:val="00812DE2"/>
    <w:rsid w:val="008138C1"/>
    <w:rsid w:val="0081399E"/>
    <w:rsid w:val="008144BC"/>
    <w:rsid w:val="00814999"/>
    <w:rsid w:val="00814EC9"/>
    <w:rsid w:val="00815405"/>
    <w:rsid w:val="00815864"/>
    <w:rsid w:val="00815CF9"/>
    <w:rsid w:val="00815DB1"/>
    <w:rsid w:val="00815E35"/>
    <w:rsid w:val="008167C4"/>
    <w:rsid w:val="00817126"/>
    <w:rsid w:val="00817906"/>
    <w:rsid w:val="0082062F"/>
    <w:rsid w:val="008207FC"/>
    <w:rsid w:val="00820FA9"/>
    <w:rsid w:val="00820FEF"/>
    <w:rsid w:val="0082137A"/>
    <w:rsid w:val="00821406"/>
    <w:rsid w:val="00821843"/>
    <w:rsid w:val="00821A3F"/>
    <w:rsid w:val="00822547"/>
    <w:rsid w:val="00823080"/>
    <w:rsid w:val="00824188"/>
    <w:rsid w:val="00824691"/>
    <w:rsid w:val="00824A0A"/>
    <w:rsid w:val="00824BCF"/>
    <w:rsid w:val="008252B9"/>
    <w:rsid w:val="008252C2"/>
    <w:rsid w:val="008254A8"/>
    <w:rsid w:val="00826223"/>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C7E"/>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32"/>
    <w:rsid w:val="008452E1"/>
    <w:rsid w:val="00845A88"/>
    <w:rsid w:val="0084604D"/>
    <w:rsid w:val="00847183"/>
    <w:rsid w:val="00847613"/>
    <w:rsid w:val="008477BD"/>
    <w:rsid w:val="00850363"/>
    <w:rsid w:val="008505FA"/>
    <w:rsid w:val="00850F07"/>
    <w:rsid w:val="0085137D"/>
    <w:rsid w:val="00851536"/>
    <w:rsid w:val="008521AF"/>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29F1"/>
    <w:rsid w:val="00862B51"/>
    <w:rsid w:val="00862C56"/>
    <w:rsid w:val="00863699"/>
    <w:rsid w:val="00863889"/>
    <w:rsid w:val="00863919"/>
    <w:rsid w:val="00863BF1"/>
    <w:rsid w:val="00863D67"/>
    <w:rsid w:val="0086405E"/>
    <w:rsid w:val="008640C5"/>
    <w:rsid w:val="0086467E"/>
    <w:rsid w:val="008647C9"/>
    <w:rsid w:val="00864C19"/>
    <w:rsid w:val="008665D8"/>
    <w:rsid w:val="00866ED0"/>
    <w:rsid w:val="008670E5"/>
    <w:rsid w:val="008672F1"/>
    <w:rsid w:val="0087004B"/>
    <w:rsid w:val="0087090F"/>
    <w:rsid w:val="00870C69"/>
    <w:rsid w:val="00871598"/>
    <w:rsid w:val="00872A92"/>
    <w:rsid w:val="00872F6C"/>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438"/>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215B"/>
    <w:rsid w:val="008A2366"/>
    <w:rsid w:val="008A2970"/>
    <w:rsid w:val="008A2AFA"/>
    <w:rsid w:val="008A2F9C"/>
    <w:rsid w:val="008A3106"/>
    <w:rsid w:val="008A32B9"/>
    <w:rsid w:val="008A3333"/>
    <w:rsid w:val="008A402F"/>
    <w:rsid w:val="008A435F"/>
    <w:rsid w:val="008A48C5"/>
    <w:rsid w:val="008A5374"/>
    <w:rsid w:val="008A5C00"/>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469"/>
    <w:rsid w:val="008B5633"/>
    <w:rsid w:val="008B5A2C"/>
    <w:rsid w:val="008B5C69"/>
    <w:rsid w:val="008B6032"/>
    <w:rsid w:val="008C0365"/>
    <w:rsid w:val="008C0650"/>
    <w:rsid w:val="008C06E4"/>
    <w:rsid w:val="008C0DBC"/>
    <w:rsid w:val="008C135E"/>
    <w:rsid w:val="008C2076"/>
    <w:rsid w:val="008C3542"/>
    <w:rsid w:val="008C38D5"/>
    <w:rsid w:val="008C3A54"/>
    <w:rsid w:val="008C41F9"/>
    <w:rsid w:val="008C4688"/>
    <w:rsid w:val="008C4F88"/>
    <w:rsid w:val="008C5040"/>
    <w:rsid w:val="008C50EC"/>
    <w:rsid w:val="008C5B4B"/>
    <w:rsid w:val="008C638C"/>
    <w:rsid w:val="008C67E8"/>
    <w:rsid w:val="008C7676"/>
    <w:rsid w:val="008C7A7F"/>
    <w:rsid w:val="008C7ED5"/>
    <w:rsid w:val="008D01D4"/>
    <w:rsid w:val="008D0357"/>
    <w:rsid w:val="008D06A5"/>
    <w:rsid w:val="008D0797"/>
    <w:rsid w:val="008D093E"/>
    <w:rsid w:val="008D0A7E"/>
    <w:rsid w:val="008D0DF2"/>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126"/>
    <w:rsid w:val="008E1931"/>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791"/>
    <w:rsid w:val="00904AEC"/>
    <w:rsid w:val="009055F8"/>
    <w:rsid w:val="00906214"/>
    <w:rsid w:val="00907802"/>
    <w:rsid w:val="00907DFC"/>
    <w:rsid w:val="009101C0"/>
    <w:rsid w:val="0091054A"/>
    <w:rsid w:val="009108B5"/>
    <w:rsid w:val="00910A22"/>
    <w:rsid w:val="00910ADA"/>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14F"/>
    <w:rsid w:val="009267BF"/>
    <w:rsid w:val="009269A8"/>
    <w:rsid w:val="009273ED"/>
    <w:rsid w:val="00927700"/>
    <w:rsid w:val="00930874"/>
    <w:rsid w:val="00930937"/>
    <w:rsid w:val="00930CD4"/>
    <w:rsid w:val="00930D0E"/>
    <w:rsid w:val="009315B9"/>
    <w:rsid w:val="00931EBE"/>
    <w:rsid w:val="00932D14"/>
    <w:rsid w:val="009336EC"/>
    <w:rsid w:val="00933E33"/>
    <w:rsid w:val="00934CE6"/>
    <w:rsid w:val="00934CF8"/>
    <w:rsid w:val="00934F68"/>
    <w:rsid w:val="0093548F"/>
    <w:rsid w:val="00935757"/>
    <w:rsid w:val="00935CF3"/>
    <w:rsid w:val="00935EAA"/>
    <w:rsid w:val="00935EE1"/>
    <w:rsid w:val="009364A7"/>
    <w:rsid w:val="009366D5"/>
    <w:rsid w:val="009368CE"/>
    <w:rsid w:val="00936A65"/>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99D"/>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10"/>
    <w:rsid w:val="00957A62"/>
    <w:rsid w:val="00960433"/>
    <w:rsid w:val="00960AAF"/>
    <w:rsid w:val="00960D5D"/>
    <w:rsid w:val="00961596"/>
    <w:rsid w:val="0096219C"/>
    <w:rsid w:val="0096290B"/>
    <w:rsid w:val="00962F25"/>
    <w:rsid w:val="00963167"/>
    <w:rsid w:val="0096385A"/>
    <w:rsid w:val="00964067"/>
    <w:rsid w:val="00964621"/>
    <w:rsid w:val="00964740"/>
    <w:rsid w:val="00964957"/>
    <w:rsid w:val="00964996"/>
    <w:rsid w:val="00964ADA"/>
    <w:rsid w:val="00965015"/>
    <w:rsid w:val="00965484"/>
    <w:rsid w:val="00965490"/>
    <w:rsid w:val="00965DAE"/>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1DF"/>
    <w:rsid w:val="00994548"/>
    <w:rsid w:val="009946E1"/>
    <w:rsid w:val="0099487E"/>
    <w:rsid w:val="00994ECF"/>
    <w:rsid w:val="00995538"/>
    <w:rsid w:val="00995E6B"/>
    <w:rsid w:val="009960CE"/>
    <w:rsid w:val="0099693D"/>
    <w:rsid w:val="00996945"/>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E0"/>
    <w:rsid w:val="009A5214"/>
    <w:rsid w:val="009A5403"/>
    <w:rsid w:val="009A541B"/>
    <w:rsid w:val="009A7117"/>
    <w:rsid w:val="009A763D"/>
    <w:rsid w:val="009A7A17"/>
    <w:rsid w:val="009A7C5B"/>
    <w:rsid w:val="009B052F"/>
    <w:rsid w:val="009B0B76"/>
    <w:rsid w:val="009B0BE3"/>
    <w:rsid w:val="009B1B0A"/>
    <w:rsid w:val="009B2D91"/>
    <w:rsid w:val="009B2E5D"/>
    <w:rsid w:val="009B2FAE"/>
    <w:rsid w:val="009B3CFB"/>
    <w:rsid w:val="009B3E5E"/>
    <w:rsid w:val="009B4B14"/>
    <w:rsid w:val="009B543E"/>
    <w:rsid w:val="009B5C86"/>
    <w:rsid w:val="009B612A"/>
    <w:rsid w:val="009B6A6E"/>
    <w:rsid w:val="009B707E"/>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4BA"/>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8A6"/>
    <w:rsid w:val="009E1F8D"/>
    <w:rsid w:val="009E210A"/>
    <w:rsid w:val="009E2FAC"/>
    <w:rsid w:val="009E314E"/>
    <w:rsid w:val="009E3165"/>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635"/>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182"/>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3"/>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2F7"/>
    <w:rsid w:val="00A4446F"/>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AF3"/>
    <w:rsid w:val="00A57EE7"/>
    <w:rsid w:val="00A60586"/>
    <w:rsid w:val="00A607C6"/>
    <w:rsid w:val="00A60B18"/>
    <w:rsid w:val="00A60BF7"/>
    <w:rsid w:val="00A6187E"/>
    <w:rsid w:val="00A61F67"/>
    <w:rsid w:val="00A61FBA"/>
    <w:rsid w:val="00A61FDC"/>
    <w:rsid w:val="00A62118"/>
    <w:rsid w:val="00A62591"/>
    <w:rsid w:val="00A62A7A"/>
    <w:rsid w:val="00A637C2"/>
    <w:rsid w:val="00A63BCC"/>
    <w:rsid w:val="00A63C18"/>
    <w:rsid w:val="00A644E5"/>
    <w:rsid w:val="00A64585"/>
    <w:rsid w:val="00A6483A"/>
    <w:rsid w:val="00A64C0F"/>
    <w:rsid w:val="00A64CF3"/>
    <w:rsid w:val="00A65CC2"/>
    <w:rsid w:val="00A66E54"/>
    <w:rsid w:val="00A66F4A"/>
    <w:rsid w:val="00A67376"/>
    <w:rsid w:val="00A677F3"/>
    <w:rsid w:val="00A678CF"/>
    <w:rsid w:val="00A67A34"/>
    <w:rsid w:val="00A708DF"/>
    <w:rsid w:val="00A70A97"/>
    <w:rsid w:val="00A70DDA"/>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C8F"/>
    <w:rsid w:val="00AB15AF"/>
    <w:rsid w:val="00AB1E47"/>
    <w:rsid w:val="00AB1E74"/>
    <w:rsid w:val="00AB2536"/>
    <w:rsid w:val="00AB2D6D"/>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C7A8B"/>
    <w:rsid w:val="00AD0138"/>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1DF7"/>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E7EE3"/>
    <w:rsid w:val="00AF1637"/>
    <w:rsid w:val="00AF1682"/>
    <w:rsid w:val="00AF194B"/>
    <w:rsid w:val="00AF1F0D"/>
    <w:rsid w:val="00AF23CA"/>
    <w:rsid w:val="00AF275E"/>
    <w:rsid w:val="00AF2BF3"/>
    <w:rsid w:val="00AF31EF"/>
    <w:rsid w:val="00AF35EF"/>
    <w:rsid w:val="00AF40EE"/>
    <w:rsid w:val="00AF45DA"/>
    <w:rsid w:val="00AF4841"/>
    <w:rsid w:val="00AF516A"/>
    <w:rsid w:val="00AF54D6"/>
    <w:rsid w:val="00AF5AE5"/>
    <w:rsid w:val="00AF5C82"/>
    <w:rsid w:val="00AF5ED8"/>
    <w:rsid w:val="00AF65E8"/>
    <w:rsid w:val="00AF70F5"/>
    <w:rsid w:val="00AF74B9"/>
    <w:rsid w:val="00B0010E"/>
    <w:rsid w:val="00B00111"/>
    <w:rsid w:val="00B0076E"/>
    <w:rsid w:val="00B00CC4"/>
    <w:rsid w:val="00B00F7F"/>
    <w:rsid w:val="00B01202"/>
    <w:rsid w:val="00B01B78"/>
    <w:rsid w:val="00B0216E"/>
    <w:rsid w:val="00B028B0"/>
    <w:rsid w:val="00B02EE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98E"/>
    <w:rsid w:val="00B25C17"/>
    <w:rsid w:val="00B26378"/>
    <w:rsid w:val="00B2639C"/>
    <w:rsid w:val="00B2658C"/>
    <w:rsid w:val="00B271E6"/>
    <w:rsid w:val="00B27DBE"/>
    <w:rsid w:val="00B27F9C"/>
    <w:rsid w:val="00B303E2"/>
    <w:rsid w:val="00B30A32"/>
    <w:rsid w:val="00B30B38"/>
    <w:rsid w:val="00B3165E"/>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A39"/>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4154"/>
    <w:rsid w:val="00B84698"/>
    <w:rsid w:val="00B84957"/>
    <w:rsid w:val="00B84ADC"/>
    <w:rsid w:val="00B84C07"/>
    <w:rsid w:val="00B85173"/>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5F"/>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5E2"/>
    <w:rsid w:val="00BC7959"/>
    <w:rsid w:val="00BC7A8D"/>
    <w:rsid w:val="00BC7B8B"/>
    <w:rsid w:val="00BD0BEE"/>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0C0A"/>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5B1"/>
    <w:rsid w:val="00BF46E3"/>
    <w:rsid w:val="00BF4B6A"/>
    <w:rsid w:val="00BF52A7"/>
    <w:rsid w:val="00BF63C3"/>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4496"/>
    <w:rsid w:val="00C0496D"/>
    <w:rsid w:val="00C0498B"/>
    <w:rsid w:val="00C04B2D"/>
    <w:rsid w:val="00C04FC9"/>
    <w:rsid w:val="00C050FA"/>
    <w:rsid w:val="00C0538F"/>
    <w:rsid w:val="00C05935"/>
    <w:rsid w:val="00C05B52"/>
    <w:rsid w:val="00C06930"/>
    <w:rsid w:val="00C076E1"/>
    <w:rsid w:val="00C07B72"/>
    <w:rsid w:val="00C07FD1"/>
    <w:rsid w:val="00C10B67"/>
    <w:rsid w:val="00C117FD"/>
    <w:rsid w:val="00C120C2"/>
    <w:rsid w:val="00C1221C"/>
    <w:rsid w:val="00C12B60"/>
    <w:rsid w:val="00C12DB2"/>
    <w:rsid w:val="00C13494"/>
    <w:rsid w:val="00C13BFB"/>
    <w:rsid w:val="00C1471B"/>
    <w:rsid w:val="00C14D92"/>
    <w:rsid w:val="00C159E2"/>
    <w:rsid w:val="00C15A74"/>
    <w:rsid w:val="00C167A9"/>
    <w:rsid w:val="00C16C61"/>
    <w:rsid w:val="00C16ED7"/>
    <w:rsid w:val="00C16EED"/>
    <w:rsid w:val="00C1706C"/>
    <w:rsid w:val="00C17146"/>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1D"/>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BA5"/>
    <w:rsid w:val="00C40F2C"/>
    <w:rsid w:val="00C4101E"/>
    <w:rsid w:val="00C41272"/>
    <w:rsid w:val="00C418E2"/>
    <w:rsid w:val="00C41A48"/>
    <w:rsid w:val="00C41CBA"/>
    <w:rsid w:val="00C41E03"/>
    <w:rsid w:val="00C430D0"/>
    <w:rsid w:val="00C44B2B"/>
    <w:rsid w:val="00C44B2D"/>
    <w:rsid w:val="00C456F4"/>
    <w:rsid w:val="00C457BC"/>
    <w:rsid w:val="00C45BD7"/>
    <w:rsid w:val="00C46813"/>
    <w:rsid w:val="00C46D12"/>
    <w:rsid w:val="00C47429"/>
    <w:rsid w:val="00C47689"/>
    <w:rsid w:val="00C5014E"/>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668"/>
    <w:rsid w:val="00C57E33"/>
    <w:rsid w:val="00C617FD"/>
    <w:rsid w:val="00C619EA"/>
    <w:rsid w:val="00C61C81"/>
    <w:rsid w:val="00C61F1F"/>
    <w:rsid w:val="00C6206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617"/>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32D"/>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1C5"/>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A782F"/>
    <w:rsid w:val="00CA7E77"/>
    <w:rsid w:val="00CB0BC8"/>
    <w:rsid w:val="00CB0CAC"/>
    <w:rsid w:val="00CB116B"/>
    <w:rsid w:val="00CB16B9"/>
    <w:rsid w:val="00CB1A4E"/>
    <w:rsid w:val="00CB1FBC"/>
    <w:rsid w:val="00CB289D"/>
    <w:rsid w:val="00CB2CFD"/>
    <w:rsid w:val="00CB37E3"/>
    <w:rsid w:val="00CB3B2F"/>
    <w:rsid w:val="00CB43E7"/>
    <w:rsid w:val="00CB4C2F"/>
    <w:rsid w:val="00CB4E06"/>
    <w:rsid w:val="00CB5285"/>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3E3B"/>
    <w:rsid w:val="00CD3F6A"/>
    <w:rsid w:val="00CD4A8D"/>
    <w:rsid w:val="00CD52A0"/>
    <w:rsid w:val="00CD551F"/>
    <w:rsid w:val="00CD55F4"/>
    <w:rsid w:val="00CD58CB"/>
    <w:rsid w:val="00CD58CD"/>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4776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A1"/>
    <w:rsid w:val="00D7431C"/>
    <w:rsid w:val="00D743D6"/>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478"/>
    <w:rsid w:val="00D8189D"/>
    <w:rsid w:val="00D82813"/>
    <w:rsid w:val="00D8294E"/>
    <w:rsid w:val="00D82D19"/>
    <w:rsid w:val="00D82E02"/>
    <w:rsid w:val="00D837BC"/>
    <w:rsid w:val="00D841B2"/>
    <w:rsid w:val="00D8469D"/>
    <w:rsid w:val="00D84F4A"/>
    <w:rsid w:val="00D85B4B"/>
    <w:rsid w:val="00D85BF1"/>
    <w:rsid w:val="00D86389"/>
    <w:rsid w:val="00D908C4"/>
    <w:rsid w:val="00D9096F"/>
    <w:rsid w:val="00D913EC"/>
    <w:rsid w:val="00D914C8"/>
    <w:rsid w:val="00D92288"/>
    <w:rsid w:val="00D934C8"/>
    <w:rsid w:val="00D93798"/>
    <w:rsid w:val="00D93AC0"/>
    <w:rsid w:val="00D93D3A"/>
    <w:rsid w:val="00D94268"/>
    <w:rsid w:val="00D94443"/>
    <w:rsid w:val="00D94869"/>
    <w:rsid w:val="00D95C9A"/>
    <w:rsid w:val="00D9669C"/>
    <w:rsid w:val="00D969FA"/>
    <w:rsid w:val="00D96ADD"/>
    <w:rsid w:val="00D97D63"/>
    <w:rsid w:val="00DA0118"/>
    <w:rsid w:val="00DA09F2"/>
    <w:rsid w:val="00DA0CB2"/>
    <w:rsid w:val="00DA184D"/>
    <w:rsid w:val="00DA2026"/>
    <w:rsid w:val="00DA2754"/>
    <w:rsid w:val="00DA2943"/>
    <w:rsid w:val="00DA2C8D"/>
    <w:rsid w:val="00DA2E14"/>
    <w:rsid w:val="00DA3552"/>
    <w:rsid w:val="00DA3982"/>
    <w:rsid w:val="00DA4257"/>
    <w:rsid w:val="00DA43E9"/>
    <w:rsid w:val="00DA4756"/>
    <w:rsid w:val="00DA47CE"/>
    <w:rsid w:val="00DA5897"/>
    <w:rsid w:val="00DA5D29"/>
    <w:rsid w:val="00DA5F70"/>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535C"/>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8AE"/>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725"/>
    <w:rsid w:val="00E049ED"/>
    <w:rsid w:val="00E04A2B"/>
    <w:rsid w:val="00E04A85"/>
    <w:rsid w:val="00E0525E"/>
    <w:rsid w:val="00E05B9E"/>
    <w:rsid w:val="00E068A7"/>
    <w:rsid w:val="00E06D12"/>
    <w:rsid w:val="00E06D98"/>
    <w:rsid w:val="00E06E9A"/>
    <w:rsid w:val="00E070C8"/>
    <w:rsid w:val="00E0716E"/>
    <w:rsid w:val="00E07FB7"/>
    <w:rsid w:val="00E104E3"/>
    <w:rsid w:val="00E107F4"/>
    <w:rsid w:val="00E10C49"/>
    <w:rsid w:val="00E10EB1"/>
    <w:rsid w:val="00E110B1"/>
    <w:rsid w:val="00E1126A"/>
    <w:rsid w:val="00E11DCB"/>
    <w:rsid w:val="00E11F17"/>
    <w:rsid w:val="00E1203E"/>
    <w:rsid w:val="00E12558"/>
    <w:rsid w:val="00E12CA1"/>
    <w:rsid w:val="00E12E94"/>
    <w:rsid w:val="00E12EE5"/>
    <w:rsid w:val="00E13043"/>
    <w:rsid w:val="00E131E4"/>
    <w:rsid w:val="00E1388D"/>
    <w:rsid w:val="00E13A27"/>
    <w:rsid w:val="00E1448F"/>
    <w:rsid w:val="00E14E67"/>
    <w:rsid w:val="00E153CE"/>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253C"/>
    <w:rsid w:val="00E3261D"/>
    <w:rsid w:val="00E32973"/>
    <w:rsid w:val="00E33017"/>
    <w:rsid w:val="00E33EA0"/>
    <w:rsid w:val="00E34598"/>
    <w:rsid w:val="00E345BA"/>
    <w:rsid w:val="00E34DFC"/>
    <w:rsid w:val="00E35F73"/>
    <w:rsid w:val="00E360B6"/>
    <w:rsid w:val="00E3619B"/>
    <w:rsid w:val="00E361A9"/>
    <w:rsid w:val="00E36A1A"/>
    <w:rsid w:val="00E36BAB"/>
    <w:rsid w:val="00E36D62"/>
    <w:rsid w:val="00E37A3D"/>
    <w:rsid w:val="00E37D01"/>
    <w:rsid w:val="00E41506"/>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049"/>
    <w:rsid w:val="00E472EE"/>
    <w:rsid w:val="00E47D0A"/>
    <w:rsid w:val="00E47F0C"/>
    <w:rsid w:val="00E51932"/>
    <w:rsid w:val="00E524A3"/>
    <w:rsid w:val="00E525CC"/>
    <w:rsid w:val="00E52837"/>
    <w:rsid w:val="00E52B21"/>
    <w:rsid w:val="00E52BB0"/>
    <w:rsid w:val="00E52EB7"/>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3DB9"/>
    <w:rsid w:val="00E6481E"/>
    <w:rsid w:val="00E65010"/>
    <w:rsid w:val="00E65302"/>
    <w:rsid w:val="00E65488"/>
    <w:rsid w:val="00E65555"/>
    <w:rsid w:val="00E65CE7"/>
    <w:rsid w:val="00E65EDF"/>
    <w:rsid w:val="00E668EE"/>
    <w:rsid w:val="00E66B23"/>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B90"/>
    <w:rsid w:val="00E76E05"/>
    <w:rsid w:val="00E76EBC"/>
    <w:rsid w:val="00E77161"/>
    <w:rsid w:val="00E7794A"/>
    <w:rsid w:val="00E806C8"/>
    <w:rsid w:val="00E813AD"/>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0A7"/>
    <w:rsid w:val="00ED454B"/>
    <w:rsid w:val="00ED45D0"/>
    <w:rsid w:val="00ED4E3D"/>
    <w:rsid w:val="00ED547B"/>
    <w:rsid w:val="00ED5709"/>
    <w:rsid w:val="00ED5BAA"/>
    <w:rsid w:val="00ED6170"/>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5D94"/>
    <w:rsid w:val="00EE6117"/>
    <w:rsid w:val="00EE6133"/>
    <w:rsid w:val="00EE613D"/>
    <w:rsid w:val="00EE650F"/>
    <w:rsid w:val="00EE68AE"/>
    <w:rsid w:val="00EE6A3A"/>
    <w:rsid w:val="00EE6A5E"/>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04CF"/>
    <w:rsid w:val="00F0168F"/>
    <w:rsid w:val="00F01854"/>
    <w:rsid w:val="00F0270A"/>
    <w:rsid w:val="00F02C54"/>
    <w:rsid w:val="00F02DA6"/>
    <w:rsid w:val="00F04083"/>
    <w:rsid w:val="00F04286"/>
    <w:rsid w:val="00F044A1"/>
    <w:rsid w:val="00F04756"/>
    <w:rsid w:val="00F0546E"/>
    <w:rsid w:val="00F056F8"/>
    <w:rsid w:val="00F061BE"/>
    <w:rsid w:val="00F063A2"/>
    <w:rsid w:val="00F0685A"/>
    <w:rsid w:val="00F068AE"/>
    <w:rsid w:val="00F06F6A"/>
    <w:rsid w:val="00F075A7"/>
    <w:rsid w:val="00F07693"/>
    <w:rsid w:val="00F103C9"/>
    <w:rsid w:val="00F1059A"/>
    <w:rsid w:val="00F108FA"/>
    <w:rsid w:val="00F10920"/>
    <w:rsid w:val="00F1096C"/>
    <w:rsid w:val="00F10E12"/>
    <w:rsid w:val="00F10F2F"/>
    <w:rsid w:val="00F110AC"/>
    <w:rsid w:val="00F11321"/>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2DA"/>
    <w:rsid w:val="00F26D2E"/>
    <w:rsid w:val="00F27445"/>
    <w:rsid w:val="00F2788E"/>
    <w:rsid w:val="00F30783"/>
    <w:rsid w:val="00F30E0A"/>
    <w:rsid w:val="00F31087"/>
    <w:rsid w:val="00F314D6"/>
    <w:rsid w:val="00F31AE2"/>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37EE1"/>
    <w:rsid w:val="00F4082D"/>
    <w:rsid w:val="00F40C2D"/>
    <w:rsid w:val="00F40FFD"/>
    <w:rsid w:val="00F41059"/>
    <w:rsid w:val="00F4111A"/>
    <w:rsid w:val="00F41272"/>
    <w:rsid w:val="00F4138C"/>
    <w:rsid w:val="00F41CDA"/>
    <w:rsid w:val="00F424CF"/>
    <w:rsid w:val="00F42A19"/>
    <w:rsid w:val="00F42BC4"/>
    <w:rsid w:val="00F43C11"/>
    <w:rsid w:val="00F44B8C"/>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2595"/>
    <w:rsid w:val="00F62975"/>
    <w:rsid w:val="00F62AF7"/>
    <w:rsid w:val="00F631B9"/>
    <w:rsid w:val="00F63955"/>
    <w:rsid w:val="00F646A9"/>
    <w:rsid w:val="00F651C8"/>
    <w:rsid w:val="00F66050"/>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3B55"/>
    <w:rsid w:val="00F747EC"/>
    <w:rsid w:val="00F7487A"/>
    <w:rsid w:val="00F74BB3"/>
    <w:rsid w:val="00F74EE6"/>
    <w:rsid w:val="00F7520F"/>
    <w:rsid w:val="00F757DA"/>
    <w:rsid w:val="00F77713"/>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87A09"/>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150"/>
    <w:rsid w:val="00F95499"/>
    <w:rsid w:val="00F9618F"/>
    <w:rsid w:val="00F96365"/>
    <w:rsid w:val="00F963B0"/>
    <w:rsid w:val="00F964DB"/>
    <w:rsid w:val="00F96B4A"/>
    <w:rsid w:val="00F96B90"/>
    <w:rsid w:val="00F96ED8"/>
    <w:rsid w:val="00F974A8"/>
    <w:rsid w:val="00F97A7A"/>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C74C1"/>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99CA-4A4A-48CF-8851-013368DC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24563</Words>
  <Characters>140013</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164248</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2020-07-24T11:23:00Z</dcterms:created>
  <dcterms:modified xsi:type="dcterms:W3CDTF">2020-07-24T11:23:00Z</dcterms:modified>
  <cp:category/>
  <cp:contentStatus/>
</cp:coreProperties>
</file>